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E7C6" w14:textId="77777777" w:rsidR="00EB5FC4" w:rsidRPr="007440BE" w:rsidRDefault="00564B1A" w:rsidP="003B1CEA">
      <w:pPr>
        <w:jc w:val="right"/>
        <w:rPr>
          <w:rFonts w:cs="Arial"/>
          <w:b/>
          <w:sz w:val="20"/>
        </w:rPr>
      </w:pPr>
      <w:bookmarkStart w:id="0" w:name="_GoBack"/>
      <w:bookmarkEnd w:id="0"/>
      <w:r>
        <w:rPr>
          <w:noProof/>
          <w:lang w:val="en-CA" w:eastAsia="en-CA"/>
        </w:rPr>
        <w:drawing>
          <wp:inline distT="0" distB="0" distL="0" distR="0" wp14:anchorId="43CAAB69" wp14:editId="511EC0AC">
            <wp:extent cx="1554351" cy="54859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dcor No Tag Smaller.png"/>
                    <pic:cNvPicPr/>
                  </pic:nvPicPr>
                  <pic:blipFill>
                    <a:blip r:embed="rId8">
                      <a:extLst>
                        <a:ext uri="{28A0092B-C50C-407E-A947-70E740481C1C}">
                          <a14:useLocalDpi xmlns:a14="http://schemas.microsoft.com/office/drawing/2010/main" val="0"/>
                        </a:ext>
                      </a:extLst>
                    </a:blip>
                    <a:stretch>
                      <a:fillRect/>
                    </a:stretch>
                  </pic:blipFill>
                  <pic:spPr>
                    <a:xfrm>
                      <a:off x="0" y="0"/>
                      <a:ext cx="1554351" cy="548595"/>
                    </a:xfrm>
                    <a:prstGeom prst="rect">
                      <a:avLst/>
                    </a:prstGeom>
                  </pic:spPr>
                </pic:pic>
              </a:graphicData>
            </a:graphic>
          </wp:inline>
        </w:drawing>
      </w:r>
    </w:p>
    <w:p w14:paraId="1C2C6801" w14:textId="77777777" w:rsidR="003B781D" w:rsidRDefault="003B781D" w:rsidP="00B0514C">
      <w:pPr>
        <w:jc w:val="center"/>
        <w:rPr>
          <w:rFonts w:cs="Arial"/>
          <w:b/>
          <w:sz w:val="20"/>
        </w:rPr>
      </w:pPr>
    </w:p>
    <w:p w14:paraId="6E9EB65E" w14:textId="77777777" w:rsidR="002303E9" w:rsidRPr="004707AA" w:rsidRDefault="002303E9" w:rsidP="00B0514C">
      <w:pPr>
        <w:jc w:val="center"/>
        <w:rPr>
          <w:rFonts w:cs="Arial"/>
          <w:b/>
          <w:sz w:val="16"/>
          <w:szCs w:val="16"/>
        </w:rPr>
      </w:pPr>
    </w:p>
    <w:p w14:paraId="59C72357" w14:textId="77777777" w:rsidR="008F328B" w:rsidRDefault="008D5761" w:rsidP="008F328B">
      <w:pPr>
        <w:jc w:val="center"/>
        <w:rPr>
          <w:rFonts w:asciiTheme="majorHAnsi" w:hAnsiTheme="majorHAnsi"/>
          <w:b/>
          <w:szCs w:val="24"/>
          <w:lang w:val="en-CA"/>
        </w:rPr>
      </w:pPr>
      <w:r w:rsidRPr="003B7773">
        <w:rPr>
          <w:rFonts w:asciiTheme="majorHAnsi" w:hAnsiTheme="majorHAnsi"/>
          <w:b/>
          <w:szCs w:val="24"/>
        </w:rPr>
        <w:t>Zedcor Energy Inc</w:t>
      </w:r>
      <w:r w:rsidR="00D56492" w:rsidRPr="003B7773">
        <w:rPr>
          <w:rFonts w:asciiTheme="majorHAnsi" w:hAnsiTheme="majorHAnsi"/>
          <w:b/>
          <w:szCs w:val="24"/>
        </w:rPr>
        <w:t>.</w:t>
      </w:r>
      <w:r w:rsidR="00467C15" w:rsidRPr="003B7773">
        <w:rPr>
          <w:rFonts w:asciiTheme="majorHAnsi" w:hAnsiTheme="majorHAnsi"/>
          <w:b/>
          <w:szCs w:val="24"/>
        </w:rPr>
        <w:t xml:space="preserve"> </w:t>
      </w:r>
      <w:r w:rsidR="009B0253" w:rsidRPr="003B7773">
        <w:rPr>
          <w:rFonts w:asciiTheme="majorHAnsi" w:hAnsiTheme="majorHAnsi"/>
          <w:b/>
          <w:szCs w:val="24"/>
        </w:rPr>
        <w:t>Announces 201</w:t>
      </w:r>
      <w:r w:rsidR="00A170FB">
        <w:rPr>
          <w:rFonts w:asciiTheme="majorHAnsi" w:hAnsiTheme="majorHAnsi"/>
          <w:b/>
          <w:szCs w:val="24"/>
        </w:rPr>
        <w:t>9</w:t>
      </w:r>
      <w:r w:rsidR="00FC2853">
        <w:rPr>
          <w:rFonts w:asciiTheme="majorHAnsi" w:hAnsiTheme="majorHAnsi"/>
          <w:b/>
          <w:szCs w:val="24"/>
        </w:rPr>
        <w:t xml:space="preserve"> </w:t>
      </w:r>
      <w:r w:rsidR="004707AA">
        <w:rPr>
          <w:rFonts w:asciiTheme="majorHAnsi" w:hAnsiTheme="majorHAnsi"/>
          <w:b/>
          <w:szCs w:val="24"/>
        </w:rPr>
        <w:t>Third</w:t>
      </w:r>
      <w:r w:rsidR="000C24C6" w:rsidRPr="003B7773">
        <w:rPr>
          <w:rFonts w:asciiTheme="majorHAnsi" w:hAnsiTheme="majorHAnsi"/>
          <w:b/>
          <w:szCs w:val="24"/>
        </w:rPr>
        <w:t xml:space="preserve"> Quarter</w:t>
      </w:r>
      <w:r w:rsidR="008F328B" w:rsidRPr="003B7773">
        <w:rPr>
          <w:rFonts w:asciiTheme="majorHAnsi" w:hAnsiTheme="majorHAnsi"/>
          <w:b/>
          <w:szCs w:val="24"/>
        </w:rPr>
        <w:t xml:space="preserve"> </w:t>
      </w:r>
      <w:r w:rsidR="00816604" w:rsidRPr="003B7773">
        <w:rPr>
          <w:rFonts w:asciiTheme="majorHAnsi" w:hAnsiTheme="majorHAnsi"/>
          <w:b/>
          <w:szCs w:val="24"/>
        </w:rPr>
        <w:t>Results</w:t>
      </w:r>
    </w:p>
    <w:p w14:paraId="47A3AFB9" w14:textId="77777777" w:rsidR="00CA3FF8" w:rsidRPr="004707AA" w:rsidRDefault="00CA3FF8" w:rsidP="008F328B">
      <w:pPr>
        <w:jc w:val="center"/>
        <w:rPr>
          <w:rFonts w:asciiTheme="majorHAnsi" w:hAnsiTheme="majorHAnsi"/>
          <w:b/>
          <w:sz w:val="16"/>
          <w:szCs w:val="16"/>
        </w:rPr>
      </w:pPr>
    </w:p>
    <w:p w14:paraId="6D99345B" w14:textId="77777777" w:rsidR="00472801" w:rsidRDefault="008F328B" w:rsidP="001B5D0A">
      <w:pPr>
        <w:pStyle w:val="NormalWeb"/>
        <w:shd w:val="clear" w:color="auto" w:fill="FFFFFF"/>
        <w:spacing w:before="0" w:beforeAutospacing="0" w:after="0" w:afterAutospacing="0"/>
        <w:jc w:val="both"/>
        <w:rPr>
          <w:rFonts w:asciiTheme="majorHAnsi" w:hAnsiTheme="majorHAnsi"/>
          <w:sz w:val="20"/>
          <w:szCs w:val="20"/>
        </w:rPr>
      </w:pPr>
      <w:r w:rsidRPr="000E6C5D">
        <w:rPr>
          <w:rFonts w:asciiTheme="majorHAnsi" w:hAnsiTheme="majorHAnsi"/>
          <w:color w:val="000000"/>
          <w:sz w:val="20"/>
          <w:szCs w:val="20"/>
        </w:rPr>
        <w:t xml:space="preserve">CALGARY, ALBERTA </w:t>
      </w:r>
      <w:r w:rsidRPr="00AC1476">
        <w:rPr>
          <w:rFonts w:asciiTheme="majorHAnsi" w:hAnsiTheme="majorHAnsi"/>
          <w:color w:val="000000"/>
          <w:sz w:val="20"/>
          <w:szCs w:val="20"/>
        </w:rPr>
        <w:t xml:space="preserve">– </w:t>
      </w:r>
      <w:r w:rsidR="004707AA" w:rsidRPr="007B7EC5">
        <w:rPr>
          <w:rFonts w:asciiTheme="majorHAnsi" w:hAnsiTheme="majorHAnsi"/>
          <w:color w:val="000000"/>
          <w:sz w:val="20"/>
          <w:szCs w:val="20"/>
        </w:rPr>
        <w:t>November</w:t>
      </w:r>
      <w:r w:rsidR="00A170FB" w:rsidRPr="007B7EC5">
        <w:rPr>
          <w:rFonts w:asciiTheme="majorHAnsi" w:hAnsiTheme="majorHAnsi"/>
          <w:color w:val="000000"/>
          <w:sz w:val="20"/>
          <w:szCs w:val="20"/>
        </w:rPr>
        <w:t xml:space="preserve"> 1</w:t>
      </w:r>
      <w:r w:rsidR="004707AA" w:rsidRPr="007B7EC5">
        <w:rPr>
          <w:rFonts w:asciiTheme="majorHAnsi" w:hAnsiTheme="majorHAnsi"/>
          <w:color w:val="000000"/>
          <w:sz w:val="20"/>
          <w:szCs w:val="20"/>
        </w:rPr>
        <w:t>2</w:t>
      </w:r>
      <w:r w:rsidRPr="007B7EC5">
        <w:rPr>
          <w:rFonts w:asciiTheme="majorHAnsi" w:hAnsiTheme="majorHAnsi"/>
          <w:color w:val="000000"/>
          <w:sz w:val="20"/>
          <w:szCs w:val="20"/>
        </w:rPr>
        <w:t>, 201</w:t>
      </w:r>
      <w:r w:rsidR="00823176" w:rsidRPr="007B7EC5">
        <w:rPr>
          <w:rFonts w:asciiTheme="majorHAnsi" w:hAnsiTheme="majorHAnsi"/>
          <w:color w:val="000000"/>
          <w:sz w:val="20"/>
          <w:szCs w:val="20"/>
        </w:rPr>
        <w:t>9</w:t>
      </w:r>
      <w:r w:rsidRPr="00AC1476">
        <w:rPr>
          <w:rFonts w:asciiTheme="majorHAnsi" w:hAnsiTheme="majorHAnsi"/>
          <w:color w:val="000000"/>
          <w:sz w:val="20"/>
          <w:szCs w:val="20"/>
        </w:rPr>
        <w:t>:</w:t>
      </w:r>
      <w:r w:rsidRPr="000E6C5D">
        <w:rPr>
          <w:rFonts w:asciiTheme="majorHAnsi" w:hAnsiTheme="majorHAnsi"/>
          <w:color w:val="000000"/>
          <w:sz w:val="20"/>
          <w:szCs w:val="20"/>
        </w:rPr>
        <w:t xml:space="preserve"> </w:t>
      </w:r>
      <w:r w:rsidR="00564B1A" w:rsidRPr="003B7773">
        <w:rPr>
          <w:rFonts w:asciiTheme="majorHAnsi" w:hAnsiTheme="majorHAnsi"/>
          <w:color w:val="000000"/>
          <w:sz w:val="20"/>
          <w:szCs w:val="20"/>
        </w:rPr>
        <w:t>Zedcor Energy Inc</w:t>
      </w:r>
      <w:r w:rsidR="00482C77" w:rsidRPr="003B7773">
        <w:rPr>
          <w:rFonts w:asciiTheme="majorHAnsi" w:hAnsiTheme="majorHAnsi"/>
          <w:color w:val="000000"/>
          <w:sz w:val="20"/>
          <w:szCs w:val="20"/>
        </w:rPr>
        <w:t>. (the "Company"</w:t>
      </w:r>
      <w:r w:rsidR="00564B1A" w:rsidRPr="003B7773">
        <w:rPr>
          <w:rFonts w:asciiTheme="majorHAnsi" w:hAnsiTheme="majorHAnsi"/>
          <w:color w:val="000000"/>
          <w:sz w:val="20"/>
          <w:szCs w:val="20"/>
        </w:rPr>
        <w:t>) (TSX VENTURE: ZDC</w:t>
      </w:r>
      <w:r w:rsidRPr="003B7773">
        <w:rPr>
          <w:rFonts w:asciiTheme="majorHAnsi" w:hAnsiTheme="majorHAnsi"/>
          <w:color w:val="000000"/>
          <w:sz w:val="20"/>
          <w:szCs w:val="20"/>
        </w:rPr>
        <w:t xml:space="preserve">) today announced </w:t>
      </w:r>
      <w:r w:rsidR="00BA5E40" w:rsidRPr="003B7773">
        <w:rPr>
          <w:rFonts w:asciiTheme="majorHAnsi" w:hAnsiTheme="majorHAnsi"/>
          <w:color w:val="000000"/>
          <w:sz w:val="20"/>
          <w:szCs w:val="20"/>
        </w:rPr>
        <w:t>its</w:t>
      </w:r>
      <w:r w:rsidRPr="003B7773">
        <w:rPr>
          <w:rFonts w:asciiTheme="majorHAnsi" w:hAnsiTheme="majorHAnsi"/>
          <w:color w:val="000000"/>
          <w:sz w:val="20"/>
          <w:szCs w:val="20"/>
        </w:rPr>
        <w:t xml:space="preserve"> financial and operating results for the </w:t>
      </w:r>
      <w:r w:rsidR="000C24C6" w:rsidRPr="003B7773">
        <w:rPr>
          <w:rFonts w:asciiTheme="majorHAnsi" w:hAnsiTheme="majorHAnsi"/>
          <w:color w:val="000000"/>
          <w:sz w:val="20"/>
          <w:szCs w:val="20"/>
        </w:rPr>
        <w:t xml:space="preserve">three </w:t>
      </w:r>
      <w:r w:rsidR="004707AA">
        <w:rPr>
          <w:rFonts w:asciiTheme="majorHAnsi" w:hAnsiTheme="majorHAnsi"/>
          <w:color w:val="000000"/>
          <w:sz w:val="20"/>
          <w:szCs w:val="20"/>
        </w:rPr>
        <w:t>and nine</w:t>
      </w:r>
      <w:r w:rsidR="00B925FF">
        <w:rPr>
          <w:rFonts w:asciiTheme="majorHAnsi" w:hAnsiTheme="majorHAnsi"/>
          <w:color w:val="000000"/>
          <w:sz w:val="20"/>
          <w:szCs w:val="20"/>
        </w:rPr>
        <w:t xml:space="preserve"> </w:t>
      </w:r>
      <w:r w:rsidR="000C24C6" w:rsidRPr="003B7773">
        <w:rPr>
          <w:rFonts w:asciiTheme="majorHAnsi" w:hAnsiTheme="majorHAnsi"/>
          <w:color w:val="000000"/>
          <w:sz w:val="20"/>
          <w:szCs w:val="20"/>
        </w:rPr>
        <w:t>months</w:t>
      </w:r>
      <w:r w:rsidR="00D55EDF" w:rsidRPr="003B7773">
        <w:rPr>
          <w:rFonts w:asciiTheme="majorHAnsi" w:hAnsiTheme="majorHAnsi"/>
          <w:color w:val="000000"/>
          <w:sz w:val="20"/>
          <w:szCs w:val="20"/>
        </w:rPr>
        <w:t xml:space="preserve"> en</w:t>
      </w:r>
      <w:r w:rsidR="00816604" w:rsidRPr="003B7773">
        <w:rPr>
          <w:rFonts w:asciiTheme="majorHAnsi" w:hAnsiTheme="majorHAnsi"/>
          <w:color w:val="000000"/>
          <w:sz w:val="20"/>
          <w:szCs w:val="20"/>
        </w:rPr>
        <w:t xml:space="preserve">ded </w:t>
      </w:r>
      <w:r w:rsidR="004707AA">
        <w:rPr>
          <w:rFonts w:asciiTheme="majorHAnsi" w:hAnsiTheme="majorHAnsi"/>
          <w:color w:val="000000"/>
          <w:sz w:val="20"/>
          <w:szCs w:val="20"/>
        </w:rPr>
        <w:t>September</w:t>
      </w:r>
      <w:r w:rsidR="00FC2853">
        <w:rPr>
          <w:rFonts w:asciiTheme="majorHAnsi" w:hAnsiTheme="majorHAnsi"/>
          <w:color w:val="000000"/>
          <w:sz w:val="20"/>
          <w:szCs w:val="20"/>
        </w:rPr>
        <w:t xml:space="preserve"> 3</w:t>
      </w:r>
      <w:r w:rsidR="00B925FF">
        <w:rPr>
          <w:rFonts w:asciiTheme="majorHAnsi" w:hAnsiTheme="majorHAnsi"/>
          <w:color w:val="000000"/>
          <w:sz w:val="20"/>
          <w:szCs w:val="20"/>
        </w:rPr>
        <w:t>0</w:t>
      </w:r>
      <w:r w:rsidR="000C24C6" w:rsidRPr="003B7773">
        <w:rPr>
          <w:rFonts w:asciiTheme="majorHAnsi" w:hAnsiTheme="majorHAnsi"/>
          <w:color w:val="000000"/>
          <w:sz w:val="20"/>
          <w:szCs w:val="20"/>
        </w:rPr>
        <w:t xml:space="preserve">, </w:t>
      </w:r>
      <w:r w:rsidR="00A170FB">
        <w:rPr>
          <w:rFonts w:asciiTheme="majorHAnsi" w:hAnsiTheme="majorHAnsi"/>
          <w:color w:val="000000"/>
          <w:sz w:val="20"/>
          <w:szCs w:val="20"/>
        </w:rPr>
        <w:t>2019</w:t>
      </w:r>
      <w:r w:rsidR="00C06750" w:rsidRPr="003B7773">
        <w:rPr>
          <w:rFonts w:asciiTheme="majorHAnsi" w:hAnsiTheme="majorHAnsi"/>
          <w:sz w:val="20"/>
          <w:szCs w:val="20"/>
        </w:rPr>
        <w:t>.</w:t>
      </w:r>
    </w:p>
    <w:p w14:paraId="297A7355" w14:textId="77777777" w:rsidR="00472801" w:rsidRPr="004707AA" w:rsidRDefault="00472801" w:rsidP="001B5D0A">
      <w:pPr>
        <w:pStyle w:val="NormalWeb"/>
        <w:shd w:val="clear" w:color="auto" w:fill="FFFFFF"/>
        <w:spacing w:before="0" w:beforeAutospacing="0" w:after="0" w:afterAutospacing="0"/>
        <w:jc w:val="both"/>
        <w:rPr>
          <w:rFonts w:asciiTheme="majorHAnsi" w:hAnsiTheme="majorHAnsi"/>
          <w:sz w:val="16"/>
          <w:szCs w:val="16"/>
        </w:rPr>
      </w:pPr>
    </w:p>
    <w:p w14:paraId="59A7497C" w14:textId="77777777" w:rsidR="00472801" w:rsidRPr="003B7773" w:rsidRDefault="00472801" w:rsidP="001B5D0A">
      <w:pPr>
        <w:pStyle w:val="NormalWeb"/>
        <w:shd w:val="clear" w:color="auto" w:fill="FFFFFF"/>
        <w:spacing w:before="0" w:beforeAutospacing="0" w:after="0" w:afterAutospacing="0"/>
        <w:jc w:val="both"/>
        <w:rPr>
          <w:rFonts w:asciiTheme="majorHAnsi" w:hAnsiTheme="majorHAnsi"/>
          <w:sz w:val="20"/>
          <w:szCs w:val="20"/>
        </w:rPr>
      </w:pPr>
      <w:r>
        <w:rPr>
          <w:rFonts w:asciiTheme="majorHAnsi" w:hAnsiTheme="majorHAnsi"/>
          <w:sz w:val="20"/>
          <w:szCs w:val="20"/>
        </w:rPr>
        <w:t>Amounts in the following tables and associated discussions are presented in thousands of dollars, except for per share amounts and percentages.</w:t>
      </w:r>
    </w:p>
    <w:p w14:paraId="01BB1070" w14:textId="77777777" w:rsidR="000C24C6" w:rsidRPr="003B7773" w:rsidRDefault="000C24C6" w:rsidP="001B5D0A">
      <w:pPr>
        <w:pStyle w:val="NormalWeb"/>
        <w:shd w:val="clear" w:color="auto" w:fill="FFFFFF"/>
        <w:spacing w:before="0" w:beforeAutospacing="0" w:after="0" w:afterAutospacing="0"/>
        <w:jc w:val="both"/>
        <w:rPr>
          <w:rFonts w:asciiTheme="majorHAnsi" w:hAnsiTheme="majorHAnsi"/>
          <w:sz w:val="20"/>
          <w:szCs w:val="20"/>
        </w:rPr>
      </w:pPr>
    </w:p>
    <w:p w14:paraId="00724BDE" w14:textId="77777777" w:rsidR="00FC2853" w:rsidRDefault="00D55EDF" w:rsidP="00472801">
      <w:pPr>
        <w:pStyle w:val="BodyText"/>
        <w:rPr>
          <w:rFonts w:ascii="Cambria" w:hAnsi="Cambria"/>
          <w:b/>
          <w:sz w:val="24"/>
          <w:szCs w:val="24"/>
        </w:rPr>
      </w:pPr>
      <w:r w:rsidRPr="003B7773">
        <w:rPr>
          <w:rFonts w:ascii="Cambria" w:hAnsi="Cambria"/>
          <w:b/>
          <w:sz w:val="24"/>
          <w:szCs w:val="24"/>
        </w:rPr>
        <w:t>Highlights</w:t>
      </w:r>
    </w:p>
    <w:tbl>
      <w:tblPr>
        <w:tblW w:w="4939" w:type="pct"/>
        <w:tblInd w:w="108" w:type="dxa"/>
        <w:tblBorders>
          <w:top w:val="single" w:sz="4" w:space="0" w:color="auto"/>
          <w:bottom w:val="single" w:sz="4" w:space="0" w:color="auto"/>
        </w:tblBorders>
        <w:tblLook w:val="01E0" w:firstRow="1" w:lastRow="1" w:firstColumn="1" w:lastColumn="1" w:noHBand="0" w:noVBand="0"/>
      </w:tblPr>
      <w:tblGrid>
        <w:gridCol w:w="4009"/>
        <w:gridCol w:w="1882"/>
        <w:gridCol w:w="1095"/>
        <w:gridCol w:w="1617"/>
        <w:gridCol w:w="1354"/>
      </w:tblGrid>
      <w:tr w:rsidR="004707AA" w:rsidRPr="00537A80" w14:paraId="1FDA4524" w14:textId="77777777" w:rsidTr="003A3C43">
        <w:trPr>
          <w:trHeight w:val="258"/>
        </w:trPr>
        <w:tc>
          <w:tcPr>
            <w:tcW w:w="2013" w:type="pct"/>
            <w:tcBorders>
              <w:top w:val="single" w:sz="12" w:space="0" w:color="auto"/>
              <w:bottom w:val="nil"/>
            </w:tcBorders>
            <w:shd w:val="clear" w:color="auto" w:fill="auto"/>
          </w:tcPr>
          <w:p w14:paraId="3BD53973" w14:textId="77777777" w:rsidR="004707AA" w:rsidRPr="00537A80" w:rsidRDefault="004707AA" w:rsidP="003A3C43">
            <w:pPr>
              <w:pStyle w:val="BodyText"/>
              <w:spacing w:before="120"/>
              <w:jc w:val="right"/>
              <w:rPr>
                <w:rFonts w:ascii="Cambria" w:hAnsi="Cambria"/>
                <w:b/>
                <w:sz w:val="18"/>
                <w:szCs w:val="18"/>
              </w:rPr>
            </w:pPr>
          </w:p>
        </w:tc>
        <w:tc>
          <w:tcPr>
            <w:tcW w:w="1495" w:type="pct"/>
            <w:gridSpan w:val="2"/>
            <w:tcBorders>
              <w:top w:val="single" w:sz="12" w:space="0" w:color="auto"/>
              <w:bottom w:val="nil"/>
            </w:tcBorders>
            <w:vAlign w:val="bottom"/>
          </w:tcPr>
          <w:p w14:paraId="7E09CB48" w14:textId="77777777" w:rsidR="004707AA" w:rsidRPr="00537A80" w:rsidRDefault="004707AA" w:rsidP="003A3C43">
            <w:pPr>
              <w:pStyle w:val="Heading1"/>
              <w:ind w:left="-111"/>
              <w:jc w:val="right"/>
              <w:rPr>
                <w:rFonts w:ascii="Cambria" w:hAnsi="Cambria"/>
                <w:sz w:val="18"/>
                <w:szCs w:val="18"/>
              </w:rPr>
            </w:pPr>
            <w:r w:rsidRPr="00537A80">
              <w:rPr>
                <w:rFonts w:ascii="Cambria" w:hAnsi="Cambria"/>
                <w:sz w:val="18"/>
                <w:szCs w:val="18"/>
              </w:rPr>
              <w:t>Three months ended Sept. 30</w:t>
            </w:r>
          </w:p>
        </w:tc>
        <w:tc>
          <w:tcPr>
            <w:tcW w:w="1492" w:type="pct"/>
            <w:gridSpan w:val="2"/>
            <w:tcBorders>
              <w:top w:val="single" w:sz="12" w:space="0" w:color="auto"/>
              <w:bottom w:val="nil"/>
            </w:tcBorders>
            <w:vAlign w:val="bottom"/>
          </w:tcPr>
          <w:p w14:paraId="58C8866F" w14:textId="77777777" w:rsidR="004707AA" w:rsidRPr="00537A80" w:rsidRDefault="004707AA" w:rsidP="003A3C43">
            <w:pPr>
              <w:pStyle w:val="Heading1"/>
              <w:jc w:val="right"/>
              <w:rPr>
                <w:rFonts w:ascii="Cambria" w:hAnsi="Cambria"/>
                <w:sz w:val="18"/>
                <w:szCs w:val="18"/>
              </w:rPr>
            </w:pPr>
            <w:r w:rsidRPr="00537A80">
              <w:rPr>
                <w:rFonts w:ascii="Cambria" w:hAnsi="Cambria"/>
                <w:sz w:val="18"/>
                <w:szCs w:val="18"/>
              </w:rPr>
              <w:t>Nine months ended Sept. 30</w:t>
            </w:r>
          </w:p>
        </w:tc>
      </w:tr>
      <w:tr w:rsidR="004707AA" w:rsidRPr="00537A80" w14:paraId="7F637DF3" w14:textId="77777777" w:rsidTr="003A3C43">
        <w:trPr>
          <w:trHeight w:val="189"/>
        </w:trPr>
        <w:tc>
          <w:tcPr>
            <w:tcW w:w="2013" w:type="pct"/>
            <w:tcBorders>
              <w:top w:val="nil"/>
              <w:bottom w:val="single" w:sz="4" w:space="0" w:color="auto"/>
            </w:tcBorders>
            <w:shd w:val="clear" w:color="auto" w:fill="auto"/>
          </w:tcPr>
          <w:p w14:paraId="139B3060" w14:textId="77777777" w:rsidR="004707AA" w:rsidRPr="00537A80" w:rsidRDefault="004707AA" w:rsidP="003A3C43">
            <w:pPr>
              <w:pStyle w:val="BodyText"/>
              <w:spacing w:before="120"/>
              <w:rPr>
                <w:rFonts w:ascii="Cambria" w:hAnsi="Cambria"/>
                <w:b/>
                <w:sz w:val="18"/>
                <w:szCs w:val="18"/>
              </w:rPr>
            </w:pPr>
            <w:r w:rsidRPr="00537A80">
              <w:rPr>
                <w:rFonts w:ascii="Cambria" w:hAnsi="Cambria"/>
                <w:b/>
                <w:sz w:val="18"/>
                <w:szCs w:val="18"/>
              </w:rPr>
              <w:t>(in $000s)</w:t>
            </w:r>
          </w:p>
        </w:tc>
        <w:tc>
          <w:tcPr>
            <w:tcW w:w="945" w:type="pct"/>
            <w:tcBorders>
              <w:top w:val="nil"/>
              <w:bottom w:val="single" w:sz="4" w:space="0" w:color="auto"/>
            </w:tcBorders>
            <w:vAlign w:val="bottom"/>
          </w:tcPr>
          <w:p w14:paraId="439B927D"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2019</w:t>
            </w:r>
          </w:p>
        </w:tc>
        <w:tc>
          <w:tcPr>
            <w:tcW w:w="550" w:type="pct"/>
            <w:tcBorders>
              <w:top w:val="nil"/>
              <w:bottom w:val="single" w:sz="4" w:space="0" w:color="auto"/>
            </w:tcBorders>
            <w:vAlign w:val="bottom"/>
          </w:tcPr>
          <w:p w14:paraId="424FA76B"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2018</w:t>
            </w:r>
          </w:p>
        </w:tc>
        <w:tc>
          <w:tcPr>
            <w:tcW w:w="812" w:type="pct"/>
            <w:tcBorders>
              <w:top w:val="nil"/>
              <w:bottom w:val="single" w:sz="4" w:space="0" w:color="auto"/>
            </w:tcBorders>
          </w:tcPr>
          <w:p w14:paraId="04D67DD4"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2019</w:t>
            </w:r>
          </w:p>
        </w:tc>
        <w:tc>
          <w:tcPr>
            <w:tcW w:w="680" w:type="pct"/>
            <w:tcBorders>
              <w:top w:val="nil"/>
              <w:bottom w:val="single" w:sz="4" w:space="0" w:color="auto"/>
            </w:tcBorders>
          </w:tcPr>
          <w:p w14:paraId="33A5EC35"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2018</w:t>
            </w:r>
          </w:p>
        </w:tc>
      </w:tr>
      <w:tr w:rsidR="004707AA" w:rsidRPr="00537A80" w14:paraId="21E6069E" w14:textId="77777777" w:rsidTr="003A3C43">
        <w:tc>
          <w:tcPr>
            <w:tcW w:w="2013" w:type="pct"/>
            <w:vAlign w:val="bottom"/>
          </w:tcPr>
          <w:p w14:paraId="26E3C52C" w14:textId="77777777" w:rsidR="004707AA" w:rsidRPr="00537A80" w:rsidRDefault="004707AA" w:rsidP="003A3C43">
            <w:pPr>
              <w:pStyle w:val="BodyText"/>
              <w:spacing w:before="120"/>
              <w:jc w:val="left"/>
              <w:rPr>
                <w:rFonts w:ascii="Cambria" w:hAnsi="Cambria"/>
                <w:b/>
                <w:sz w:val="18"/>
                <w:szCs w:val="18"/>
              </w:rPr>
            </w:pPr>
            <w:r w:rsidRPr="00537A80">
              <w:rPr>
                <w:rFonts w:ascii="Cambria" w:hAnsi="Cambria"/>
                <w:b/>
                <w:sz w:val="18"/>
                <w:szCs w:val="18"/>
              </w:rPr>
              <w:t>Revenue</w:t>
            </w:r>
          </w:p>
        </w:tc>
        <w:tc>
          <w:tcPr>
            <w:tcW w:w="945" w:type="pct"/>
            <w:vAlign w:val="bottom"/>
          </w:tcPr>
          <w:p w14:paraId="0B0FE00F"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3,865</w:t>
            </w:r>
          </w:p>
        </w:tc>
        <w:tc>
          <w:tcPr>
            <w:tcW w:w="550" w:type="pct"/>
            <w:vAlign w:val="bottom"/>
          </w:tcPr>
          <w:p w14:paraId="7B136654"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3,992</w:t>
            </w:r>
          </w:p>
        </w:tc>
        <w:tc>
          <w:tcPr>
            <w:tcW w:w="812" w:type="pct"/>
            <w:vAlign w:val="bottom"/>
          </w:tcPr>
          <w:p w14:paraId="32499E46"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13,578</w:t>
            </w:r>
          </w:p>
        </w:tc>
        <w:tc>
          <w:tcPr>
            <w:tcW w:w="680" w:type="pct"/>
            <w:vAlign w:val="bottom"/>
          </w:tcPr>
          <w:p w14:paraId="4D49C3B6"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12,628</w:t>
            </w:r>
          </w:p>
        </w:tc>
      </w:tr>
      <w:tr w:rsidR="004707AA" w:rsidRPr="00537A80" w14:paraId="59291674" w14:textId="77777777" w:rsidTr="003A3C43">
        <w:trPr>
          <w:trHeight w:val="432"/>
        </w:trPr>
        <w:tc>
          <w:tcPr>
            <w:tcW w:w="2013" w:type="pct"/>
            <w:vAlign w:val="bottom"/>
          </w:tcPr>
          <w:p w14:paraId="1098ABA6" w14:textId="77777777" w:rsidR="004707AA" w:rsidRPr="00537A80" w:rsidRDefault="004707AA" w:rsidP="003A3C43">
            <w:pPr>
              <w:pStyle w:val="BodyText"/>
              <w:ind w:left="90"/>
              <w:jc w:val="left"/>
              <w:rPr>
                <w:rFonts w:ascii="Cambria" w:hAnsi="Cambria"/>
                <w:b/>
                <w:sz w:val="18"/>
                <w:szCs w:val="18"/>
                <w:vertAlign w:val="superscript"/>
              </w:rPr>
            </w:pPr>
            <w:r w:rsidRPr="00537A80">
              <w:rPr>
                <w:rFonts w:ascii="Cambria" w:hAnsi="Cambria"/>
                <w:b/>
                <w:sz w:val="18"/>
                <w:szCs w:val="18"/>
              </w:rPr>
              <w:t>Adjusted EBITDA</w:t>
            </w:r>
            <w:r w:rsidRPr="00537A80">
              <w:rPr>
                <w:rFonts w:ascii="Cambria" w:hAnsi="Cambria"/>
                <w:b/>
                <w:sz w:val="18"/>
                <w:szCs w:val="18"/>
                <w:vertAlign w:val="superscript"/>
              </w:rPr>
              <w:t>1,2</w:t>
            </w:r>
          </w:p>
        </w:tc>
        <w:tc>
          <w:tcPr>
            <w:tcW w:w="945" w:type="pct"/>
            <w:vAlign w:val="bottom"/>
          </w:tcPr>
          <w:p w14:paraId="4BFDC763"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w:t>
            </w:r>
            <w:r>
              <w:rPr>
                <w:rFonts w:ascii="Cambria" w:hAnsi="Cambria"/>
                <w:sz w:val="18"/>
                <w:szCs w:val="18"/>
              </w:rPr>
              <w:t>509</w:t>
            </w:r>
          </w:p>
        </w:tc>
        <w:tc>
          <w:tcPr>
            <w:tcW w:w="550" w:type="pct"/>
            <w:vAlign w:val="bottom"/>
          </w:tcPr>
          <w:p w14:paraId="61D6F0C3"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1,112</w:t>
            </w:r>
          </w:p>
        </w:tc>
        <w:tc>
          <w:tcPr>
            <w:tcW w:w="812" w:type="pct"/>
            <w:vAlign w:val="bottom"/>
          </w:tcPr>
          <w:p w14:paraId="0DDF53D7"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5,531</w:t>
            </w:r>
          </w:p>
        </w:tc>
        <w:tc>
          <w:tcPr>
            <w:tcW w:w="680" w:type="pct"/>
            <w:vAlign w:val="bottom"/>
          </w:tcPr>
          <w:p w14:paraId="4BA02144"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3,249</w:t>
            </w:r>
          </w:p>
        </w:tc>
      </w:tr>
      <w:tr w:rsidR="004707AA" w:rsidRPr="00537A80" w14:paraId="1353D34D" w14:textId="77777777" w:rsidTr="003A3C43">
        <w:trPr>
          <w:trHeight w:val="432"/>
        </w:trPr>
        <w:tc>
          <w:tcPr>
            <w:tcW w:w="2013" w:type="pct"/>
            <w:vAlign w:val="bottom"/>
          </w:tcPr>
          <w:p w14:paraId="184F376F" w14:textId="77777777" w:rsidR="004707AA" w:rsidRPr="00537A80" w:rsidRDefault="004707AA" w:rsidP="003A3C43">
            <w:pPr>
              <w:pStyle w:val="BodyText"/>
              <w:ind w:left="90"/>
              <w:jc w:val="left"/>
              <w:rPr>
                <w:rFonts w:ascii="Cambria" w:hAnsi="Cambria"/>
                <w:b/>
                <w:sz w:val="18"/>
                <w:szCs w:val="18"/>
                <w:vertAlign w:val="superscript"/>
              </w:rPr>
            </w:pPr>
            <w:r w:rsidRPr="00537A80">
              <w:rPr>
                <w:rFonts w:ascii="Cambria" w:hAnsi="Cambria"/>
                <w:b/>
                <w:sz w:val="18"/>
                <w:szCs w:val="18"/>
              </w:rPr>
              <w:t>Adjusted EBIT</w:t>
            </w:r>
            <w:r w:rsidRPr="00537A80">
              <w:rPr>
                <w:rFonts w:ascii="Cambria" w:hAnsi="Cambria"/>
                <w:b/>
                <w:sz w:val="18"/>
                <w:szCs w:val="18"/>
                <w:vertAlign w:val="superscript"/>
              </w:rPr>
              <w:t>1,2</w:t>
            </w:r>
          </w:p>
        </w:tc>
        <w:tc>
          <w:tcPr>
            <w:tcW w:w="945" w:type="pct"/>
            <w:vAlign w:val="bottom"/>
          </w:tcPr>
          <w:p w14:paraId="320E6841"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(6</w:t>
            </w:r>
            <w:r>
              <w:rPr>
                <w:rFonts w:ascii="Cambria" w:hAnsi="Cambria"/>
                <w:sz w:val="18"/>
                <w:szCs w:val="18"/>
              </w:rPr>
              <w:t>36</w:t>
            </w:r>
            <w:r w:rsidRPr="00537A80">
              <w:rPr>
                <w:rFonts w:ascii="Cambria" w:hAnsi="Cambria"/>
                <w:sz w:val="18"/>
                <w:szCs w:val="18"/>
              </w:rPr>
              <w:t>)</w:t>
            </w:r>
          </w:p>
        </w:tc>
        <w:tc>
          <w:tcPr>
            <w:tcW w:w="550" w:type="pct"/>
            <w:vAlign w:val="bottom"/>
          </w:tcPr>
          <w:p w14:paraId="6DC251AA"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(656)</w:t>
            </w:r>
          </w:p>
        </w:tc>
        <w:tc>
          <w:tcPr>
            <w:tcW w:w="812" w:type="pct"/>
            <w:vAlign w:val="bottom"/>
          </w:tcPr>
          <w:p w14:paraId="52C3CE9C"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(1,051)</w:t>
            </w:r>
          </w:p>
        </w:tc>
        <w:tc>
          <w:tcPr>
            <w:tcW w:w="680" w:type="pct"/>
            <w:vAlign w:val="bottom"/>
          </w:tcPr>
          <w:p w14:paraId="3CDA0738"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(2,223)</w:t>
            </w:r>
          </w:p>
        </w:tc>
      </w:tr>
      <w:tr w:rsidR="004707AA" w:rsidRPr="00537A80" w14:paraId="03D9F26F" w14:textId="77777777" w:rsidTr="003A3C43">
        <w:trPr>
          <w:trHeight w:val="450"/>
        </w:trPr>
        <w:tc>
          <w:tcPr>
            <w:tcW w:w="2013" w:type="pct"/>
            <w:vAlign w:val="bottom"/>
          </w:tcPr>
          <w:p w14:paraId="11DDF04A" w14:textId="77777777" w:rsidR="004707AA" w:rsidRPr="00537A80" w:rsidRDefault="004707AA" w:rsidP="003A3C43">
            <w:pPr>
              <w:pStyle w:val="BodyText"/>
              <w:spacing w:before="240"/>
              <w:ind w:left="90"/>
              <w:jc w:val="left"/>
              <w:rPr>
                <w:rFonts w:ascii="Cambria" w:hAnsi="Cambria"/>
                <w:b/>
                <w:sz w:val="18"/>
                <w:szCs w:val="18"/>
              </w:rPr>
            </w:pPr>
            <w:r w:rsidRPr="00537A80">
              <w:rPr>
                <w:rFonts w:ascii="Cambria" w:hAnsi="Cambria"/>
                <w:b/>
                <w:sz w:val="18"/>
                <w:szCs w:val="18"/>
              </w:rPr>
              <w:t xml:space="preserve">Net loss from operations </w:t>
            </w:r>
          </w:p>
        </w:tc>
        <w:tc>
          <w:tcPr>
            <w:tcW w:w="945" w:type="pct"/>
            <w:vAlign w:val="bottom"/>
          </w:tcPr>
          <w:p w14:paraId="0A580D05" w14:textId="77777777" w:rsidR="004707AA" w:rsidRPr="00537A80" w:rsidRDefault="004707AA" w:rsidP="003A3C43">
            <w:pPr>
              <w:pStyle w:val="BodyText"/>
              <w:spacing w:before="240"/>
              <w:jc w:val="right"/>
              <w:rPr>
                <w:rFonts w:ascii="Cambria" w:hAnsi="Cambria"/>
                <w:sz w:val="18"/>
                <w:szCs w:val="18"/>
              </w:rPr>
            </w:pPr>
            <w:r w:rsidRPr="00537A80">
              <w:rPr>
                <w:rFonts w:ascii="Cambria" w:hAnsi="Cambria"/>
                <w:sz w:val="18"/>
                <w:szCs w:val="18"/>
              </w:rPr>
              <w:t>(1,6</w:t>
            </w:r>
            <w:r w:rsidRPr="003A3C43">
              <w:rPr>
                <w:rFonts w:ascii="Cambria" w:hAnsi="Cambria"/>
                <w:sz w:val="18"/>
                <w:szCs w:val="18"/>
              </w:rPr>
              <w:t>17</w:t>
            </w:r>
            <w:r w:rsidRPr="00537A80">
              <w:rPr>
                <w:rFonts w:ascii="Cambria" w:hAnsi="Cambria"/>
                <w:sz w:val="18"/>
                <w:szCs w:val="18"/>
              </w:rPr>
              <w:t>)</w:t>
            </w:r>
          </w:p>
        </w:tc>
        <w:tc>
          <w:tcPr>
            <w:tcW w:w="550" w:type="pct"/>
            <w:vAlign w:val="bottom"/>
          </w:tcPr>
          <w:p w14:paraId="6EF82CE4" w14:textId="77777777" w:rsidR="004707AA" w:rsidRPr="00537A80" w:rsidRDefault="004707AA" w:rsidP="003A3C43">
            <w:pPr>
              <w:pStyle w:val="BodyText"/>
              <w:spacing w:before="240"/>
              <w:jc w:val="right"/>
              <w:rPr>
                <w:rFonts w:ascii="Cambria" w:hAnsi="Cambria"/>
                <w:sz w:val="18"/>
                <w:szCs w:val="18"/>
              </w:rPr>
            </w:pPr>
            <w:r w:rsidRPr="00537A80">
              <w:rPr>
                <w:rFonts w:ascii="Cambria" w:hAnsi="Cambria"/>
                <w:sz w:val="18"/>
                <w:szCs w:val="18"/>
              </w:rPr>
              <w:t>(1,608)</w:t>
            </w:r>
          </w:p>
        </w:tc>
        <w:tc>
          <w:tcPr>
            <w:tcW w:w="812" w:type="pct"/>
            <w:vAlign w:val="bottom"/>
          </w:tcPr>
          <w:p w14:paraId="41DF09E2" w14:textId="77777777" w:rsidR="004707AA" w:rsidRPr="00537A80" w:rsidRDefault="004707AA" w:rsidP="003A3C43">
            <w:pPr>
              <w:pStyle w:val="BodyText"/>
              <w:spacing w:before="240"/>
              <w:jc w:val="right"/>
              <w:rPr>
                <w:rFonts w:ascii="Cambria" w:hAnsi="Cambria"/>
                <w:sz w:val="18"/>
                <w:szCs w:val="18"/>
              </w:rPr>
            </w:pPr>
            <w:r w:rsidRPr="00537A80">
              <w:rPr>
                <w:rFonts w:ascii="Cambria" w:hAnsi="Cambria"/>
                <w:sz w:val="18"/>
                <w:szCs w:val="18"/>
              </w:rPr>
              <w:t>(4,105)</w:t>
            </w:r>
          </w:p>
        </w:tc>
        <w:tc>
          <w:tcPr>
            <w:tcW w:w="680" w:type="pct"/>
            <w:vAlign w:val="bottom"/>
          </w:tcPr>
          <w:p w14:paraId="248B020A" w14:textId="77777777" w:rsidR="004707AA" w:rsidRPr="00537A80" w:rsidRDefault="004707AA" w:rsidP="003A3C43">
            <w:pPr>
              <w:pStyle w:val="BodyText"/>
              <w:spacing w:before="240"/>
              <w:jc w:val="right"/>
              <w:rPr>
                <w:rFonts w:ascii="Cambria" w:hAnsi="Cambria"/>
                <w:sz w:val="18"/>
                <w:szCs w:val="18"/>
              </w:rPr>
            </w:pPr>
            <w:r w:rsidRPr="00537A80">
              <w:rPr>
                <w:rFonts w:ascii="Cambria" w:hAnsi="Cambria"/>
                <w:sz w:val="18"/>
                <w:szCs w:val="18"/>
              </w:rPr>
              <w:t>(4,984)</w:t>
            </w:r>
          </w:p>
        </w:tc>
      </w:tr>
      <w:tr w:rsidR="004707AA" w:rsidRPr="00537A80" w14:paraId="3F0F3AF2" w14:textId="77777777" w:rsidTr="003A3C43">
        <w:trPr>
          <w:trHeight w:val="450"/>
        </w:trPr>
        <w:tc>
          <w:tcPr>
            <w:tcW w:w="2013" w:type="pct"/>
            <w:vAlign w:val="bottom"/>
          </w:tcPr>
          <w:p w14:paraId="5B3633A9" w14:textId="77777777" w:rsidR="004707AA" w:rsidRPr="00537A80" w:rsidRDefault="004707AA" w:rsidP="003A3C43">
            <w:pPr>
              <w:pStyle w:val="BodyText"/>
              <w:spacing w:before="240"/>
              <w:ind w:left="90"/>
              <w:jc w:val="left"/>
              <w:rPr>
                <w:rFonts w:ascii="Cambria" w:hAnsi="Cambria"/>
                <w:b/>
                <w:sz w:val="18"/>
                <w:szCs w:val="18"/>
              </w:rPr>
            </w:pPr>
            <w:r w:rsidRPr="00537A80">
              <w:rPr>
                <w:rFonts w:ascii="Cambria" w:hAnsi="Cambria"/>
                <w:b/>
                <w:sz w:val="18"/>
                <w:szCs w:val="18"/>
              </w:rPr>
              <w:t>Net loss per share from operations</w:t>
            </w:r>
          </w:p>
        </w:tc>
        <w:tc>
          <w:tcPr>
            <w:tcW w:w="945" w:type="pct"/>
            <w:vAlign w:val="bottom"/>
          </w:tcPr>
          <w:p w14:paraId="4968C218" w14:textId="77777777" w:rsidR="004707AA" w:rsidRPr="00537A80" w:rsidRDefault="004707AA" w:rsidP="003A3C43">
            <w:pPr>
              <w:pStyle w:val="BodyText"/>
              <w:spacing w:before="240"/>
              <w:jc w:val="right"/>
              <w:rPr>
                <w:rFonts w:ascii="Cambria" w:hAnsi="Cambria"/>
                <w:sz w:val="18"/>
                <w:szCs w:val="18"/>
              </w:rPr>
            </w:pPr>
          </w:p>
        </w:tc>
        <w:tc>
          <w:tcPr>
            <w:tcW w:w="550" w:type="pct"/>
            <w:vAlign w:val="bottom"/>
          </w:tcPr>
          <w:p w14:paraId="52EAFB8B" w14:textId="77777777" w:rsidR="004707AA" w:rsidRPr="00537A80" w:rsidRDefault="004707AA" w:rsidP="003A3C43">
            <w:pPr>
              <w:pStyle w:val="BodyText"/>
              <w:spacing w:before="240"/>
              <w:jc w:val="right"/>
              <w:rPr>
                <w:rFonts w:ascii="Cambria" w:hAnsi="Cambria"/>
                <w:sz w:val="18"/>
                <w:szCs w:val="18"/>
              </w:rPr>
            </w:pPr>
          </w:p>
        </w:tc>
        <w:tc>
          <w:tcPr>
            <w:tcW w:w="812" w:type="pct"/>
            <w:vAlign w:val="bottom"/>
          </w:tcPr>
          <w:p w14:paraId="1BC0E1C2" w14:textId="77777777" w:rsidR="004707AA" w:rsidRPr="00537A80" w:rsidRDefault="004707AA" w:rsidP="003A3C43">
            <w:pPr>
              <w:pStyle w:val="BodyText"/>
              <w:spacing w:before="240"/>
              <w:jc w:val="right"/>
              <w:rPr>
                <w:rFonts w:ascii="Cambria" w:hAnsi="Cambria"/>
                <w:sz w:val="18"/>
                <w:szCs w:val="18"/>
              </w:rPr>
            </w:pPr>
          </w:p>
        </w:tc>
        <w:tc>
          <w:tcPr>
            <w:tcW w:w="680" w:type="pct"/>
            <w:vAlign w:val="bottom"/>
          </w:tcPr>
          <w:p w14:paraId="51A19648" w14:textId="77777777" w:rsidR="004707AA" w:rsidRPr="00537A80" w:rsidRDefault="004707AA" w:rsidP="003A3C43">
            <w:pPr>
              <w:pStyle w:val="BodyText"/>
              <w:spacing w:before="240"/>
              <w:jc w:val="right"/>
              <w:rPr>
                <w:rFonts w:ascii="Cambria" w:hAnsi="Cambria"/>
                <w:sz w:val="18"/>
                <w:szCs w:val="18"/>
              </w:rPr>
            </w:pPr>
          </w:p>
        </w:tc>
      </w:tr>
      <w:tr w:rsidR="004707AA" w:rsidRPr="00537A80" w14:paraId="17657DA9" w14:textId="77777777" w:rsidTr="003A3C43">
        <w:tc>
          <w:tcPr>
            <w:tcW w:w="2013" w:type="pct"/>
            <w:tcBorders>
              <w:bottom w:val="nil"/>
            </w:tcBorders>
            <w:shd w:val="clear" w:color="auto" w:fill="auto"/>
            <w:vAlign w:val="bottom"/>
          </w:tcPr>
          <w:p w14:paraId="46553A3E" w14:textId="77777777" w:rsidR="004707AA" w:rsidRPr="00537A80" w:rsidRDefault="004707AA" w:rsidP="003A3C43">
            <w:pPr>
              <w:pStyle w:val="BodyText"/>
              <w:ind w:left="90"/>
              <w:jc w:val="left"/>
              <w:rPr>
                <w:rFonts w:ascii="Cambria" w:hAnsi="Cambria"/>
                <w:b/>
                <w:sz w:val="18"/>
                <w:szCs w:val="18"/>
              </w:rPr>
            </w:pPr>
            <w:r w:rsidRPr="00537A80">
              <w:rPr>
                <w:rFonts w:ascii="Cambria" w:hAnsi="Cambria"/>
                <w:b/>
                <w:sz w:val="18"/>
                <w:szCs w:val="18"/>
              </w:rPr>
              <w:t xml:space="preserve">   Basic</w:t>
            </w:r>
          </w:p>
        </w:tc>
        <w:tc>
          <w:tcPr>
            <w:tcW w:w="945" w:type="pct"/>
            <w:tcBorders>
              <w:bottom w:val="nil"/>
            </w:tcBorders>
            <w:vAlign w:val="bottom"/>
          </w:tcPr>
          <w:p w14:paraId="4EA83EAE"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(0.03)</w:t>
            </w:r>
          </w:p>
        </w:tc>
        <w:tc>
          <w:tcPr>
            <w:tcW w:w="550" w:type="pct"/>
            <w:tcBorders>
              <w:bottom w:val="nil"/>
            </w:tcBorders>
            <w:vAlign w:val="bottom"/>
          </w:tcPr>
          <w:p w14:paraId="2779711B"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(0.03)</w:t>
            </w:r>
          </w:p>
        </w:tc>
        <w:tc>
          <w:tcPr>
            <w:tcW w:w="812" w:type="pct"/>
            <w:tcBorders>
              <w:bottom w:val="nil"/>
            </w:tcBorders>
            <w:vAlign w:val="bottom"/>
          </w:tcPr>
          <w:p w14:paraId="78F4CEC1"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(0.08)</w:t>
            </w:r>
          </w:p>
        </w:tc>
        <w:tc>
          <w:tcPr>
            <w:tcW w:w="680" w:type="pct"/>
            <w:tcBorders>
              <w:bottom w:val="nil"/>
            </w:tcBorders>
            <w:vAlign w:val="bottom"/>
          </w:tcPr>
          <w:p w14:paraId="62ACB9EC"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(0.10)</w:t>
            </w:r>
          </w:p>
        </w:tc>
      </w:tr>
      <w:tr w:rsidR="004707AA" w:rsidRPr="00537A80" w14:paraId="07CC35D2" w14:textId="77777777" w:rsidTr="003A3C43">
        <w:tc>
          <w:tcPr>
            <w:tcW w:w="2013" w:type="pct"/>
            <w:shd w:val="clear" w:color="auto" w:fill="auto"/>
            <w:vAlign w:val="bottom"/>
          </w:tcPr>
          <w:p w14:paraId="2B927797" w14:textId="77777777" w:rsidR="004707AA" w:rsidRPr="00537A80" w:rsidRDefault="004707AA" w:rsidP="003A3C43">
            <w:pPr>
              <w:pStyle w:val="BodyText"/>
              <w:ind w:left="90"/>
              <w:jc w:val="left"/>
              <w:rPr>
                <w:rFonts w:ascii="Cambria" w:hAnsi="Cambria"/>
                <w:b/>
                <w:sz w:val="18"/>
                <w:szCs w:val="18"/>
              </w:rPr>
            </w:pPr>
            <w:r w:rsidRPr="00537A80">
              <w:rPr>
                <w:rFonts w:ascii="Cambria" w:hAnsi="Cambria"/>
                <w:b/>
                <w:sz w:val="18"/>
                <w:szCs w:val="18"/>
              </w:rPr>
              <w:t xml:space="preserve">   Diluted</w:t>
            </w:r>
          </w:p>
        </w:tc>
        <w:tc>
          <w:tcPr>
            <w:tcW w:w="945" w:type="pct"/>
            <w:vAlign w:val="bottom"/>
          </w:tcPr>
          <w:p w14:paraId="2D02A25D"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(0.03)</w:t>
            </w:r>
          </w:p>
        </w:tc>
        <w:tc>
          <w:tcPr>
            <w:tcW w:w="550" w:type="pct"/>
            <w:vAlign w:val="bottom"/>
          </w:tcPr>
          <w:p w14:paraId="591BA0B3"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(0.03)</w:t>
            </w:r>
          </w:p>
        </w:tc>
        <w:tc>
          <w:tcPr>
            <w:tcW w:w="812" w:type="pct"/>
            <w:vAlign w:val="bottom"/>
          </w:tcPr>
          <w:p w14:paraId="13F0E7D8"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(0.08)</w:t>
            </w:r>
          </w:p>
        </w:tc>
        <w:tc>
          <w:tcPr>
            <w:tcW w:w="680" w:type="pct"/>
            <w:vAlign w:val="bottom"/>
          </w:tcPr>
          <w:p w14:paraId="1BFB03C4"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(0.10)</w:t>
            </w:r>
          </w:p>
        </w:tc>
      </w:tr>
      <w:tr w:rsidR="004707AA" w:rsidRPr="00537A80" w14:paraId="5FB4E70A" w14:textId="77777777" w:rsidTr="003A3C43">
        <w:tc>
          <w:tcPr>
            <w:tcW w:w="2013" w:type="pct"/>
            <w:shd w:val="clear" w:color="auto" w:fill="auto"/>
            <w:vAlign w:val="bottom"/>
          </w:tcPr>
          <w:p w14:paraId="403974EF" w14:textId="77777777" w:rsidR="004707AA" w:rsidRPr="00537A80" w:rsidRDefault="004707AA" w:rsidP="003A3C43">
            <w:pPr>
              <w:pStyle w:val="BodyText"/>
              <w:ind w:left="90"/>
              <w:jc w:val="left"/>
              <w:rPr>
                <w:rFonts w:ascii="Cambria" w:hAnsi="Cambria"/>
                <w:b/>
                <w:sz w:val="18"/>
                <w:szCs w:val="18"/>
              </w:rPr>
            </w:pPr>
          </w:p>
        </w:tc>
        <w:tc>
          <w:tcPr>
            <w:tcW w:w="945" w:type="pct"/>
            <w:vAlign w:val="bottom"/>
          </w:tcPr>
          <w:p w14:paraId="7747BEC7" w14:textId="77777777" w:rsidR="004707AA" w:rsidRPr="00537A80" w:rsidRDefault="004707AA" w:rsidP="003A3C43">
            <w:pPr>
              <w:pStyle w:val="BodyText"/>
              <w:jc w:val="right"/>
              <w:rPr>
                <w:rFonts w:ascii="Cambria" w:hAnsi="Cambria"/>
                <w:sz w:val="18"/>
                <w:szCs w:val="18"/>
              </w:rPr>
            </w:pPr>
          </w:p>
        </w:tc>
        <w:tc>
          <w:tcPr>
            <w:tcW w:w="550" w:type="pct"/>
            <w:vAlign w:val="bottom"/>
          </w:tcPr>
          <w:p w14:paraId="166EBCDA" w14:textId="77777777" w:rsidR="004707AA" w:rsidRPr="00537A80" w:rsidRDefault="004707AA" w:rsidP="003A3C43">
            <w:pPr>
              <w:pStyle w:val="BodyText"/>
              <w:jc w:val="right"/>
              <w:rPr>
                <w:rFonts w:ascii="Cambria" w:hAnsi="Cambria"/>
                <w:sz w:val="18"/>
                <w:szCs w:val="18"/>
              </w:rPr>
            </w:pPr>
          </w:p>
        </w:tc>
        <w:tc>
          <w:tcPr>
            <w:tcW w:w="812" w:type="pct"/>
            <w:vAlign w:val="bottom"/>
          </w:tcPr>
          <w:p w14:paraId="314FA1AE" w14:textId="77777777" w:rsidR="004707AA" w:rsidRPr="00537A80" w:rsidRDefault="004707AA" w:rsidP="003A3C43">
            <w:pPr>
              <w:pStyle w:val="BodyText"/>
              <w:jc w:val="right"/>
              <w:rPr>
                <w:rFonts w:ascii="Cambria" w:hAnsi="Cambria"/>
                <w:sz w:val="18"/>
                <w:szCs w:val="18"/>
              </w:rPr>
            </w:pPr>
          </w:p>
        </w:tc>
        <w:tc>
          <w:tcPr>
            <w:tcW w:w="680" w:type="pct"/>
            <w:vAlign w:val="bottom"/>
          </w:tcPr>
          <w:p w14:paraId="56FA69AD" w14:textId="77777777" w:rsidR="004707AA" w:rsidRPr="00537A80" w:rsidRDefault="004707AA" w:rsidP="003A3C43">
            <w:pPr>
              <w:pStyle w:val="BodyText"/>
              <w:jc w:val="right"/>
              <w:rPr>
                <w:rFonts w:ascii="Cambria" w:hAnsi="Cambria"/>
                <w:sz w:val="18"/>
                <w:szCs w:val="18"/>
              </w:rPr>
            </w:pPr>
          </w:p>
        </w:tc>
      </w:tr>
    </w:tbl>
    <w:p w14:paraId="3A1058A1" w14:textId="77777777" w:rsidR="00FC2853" w:rsidRPr="006F2580" w:rsidRDefault="00FC2853" w:rsidP="00FC2853">
      <w:pPr>
        <w:pStyle w:val="BodyText"/>
        <w:rPr>
          <w:rFonts w:ascii="Cambria" w:hAnsi="Cambria"/>
          <w:i/>
          <w:sz w:val="18"/>
          <w:szCs w:val="18"/>
        </w:rPr>
      </w:pPr>
      <w:r w:rsidRPr="006F2580">
        <w:rPr>
          <w:rFonts w:ascii="Cambria" w:hAnsi="Cambria"/>
          <w:b/>
          <w:sz w:val="20"/>
          <w:vertAlign w:val="superscript"/>
        </w:rPr>
        <w:t xml:space="preserve">1 </w:t>
      </w:r>
      <w:r>
        <w:rPr>
          <w:rFonts w:ascii="Cambria" w:hAnsi="Cambria"/>
          <w:i/>
          <w:sz w:val="18"/>
          <w:szCs w:val="18"/>
        </w:rPr>
        <w:t>Adjusted for severances</w:t>
      </w:r>
    </w:p>
    <w:p w14:paraId="2024E4D8" w14:textId="77777777" w:rsidR="00FC2853" w:rsidRPr="006F2580" w:rsidRDefault="00FC2853" w:rsidP="00FC2853">
      <w:pPr>
        <w:pStyle w:val="BodyText"/>
        <w:rPr>
          <w:rFonts w:ascii="Cambria" w:hAnsi="Cambria"/>
          <w:sz w:val="18"/>
          <w:szCs w:val="18"/>
        </w:rPr>
      </w:pPr>
      <w:r w:rsidRPr="006F2580">
        <w:rPr>
          <w:rFonts w:ascii="Cambria" w:hAnsi="Cambria"/>
          <w:b/>
          <w:sz w:val="20"/>
          <w:vertAlign w:val="superscript"/>
        </w:rPr>
        <w:t xml:space="preserve">2 </w:t>
      </w:r>
      <w:r w:rsidRPr="006F2580">
        <w:rPr>
          <w:rFonts w:ascii="Cambria" w:hAnsi="Cambria"/>
          <w:i/>
          <w:sz w:val="18"/>
          <w:szCs w:val="18"/>
        </w:rPr>
        <w:t>See Financial Measures Reconciliations below</w:t>
      </w:r>
    </w:p>
    <w:p w14:paraId="426BE977" w14:textId="77777777" w:rsidR="00FC2853" w:rsidRPr="004707AA" w:rsidRDefault="00FC2853" w:rsidP="00D55EDF">
      <w:pPr>
        <w:pStyle w:val="BodyText"/>
        <w:rPr>
          <w:rFonts w:ascii="Cambria" w:hAnsi="Cambria"/>
          <w:b/>
          <w:sz w:val="16"/>
          <w:szCs w:val="16"/>
        </w:rPr>
      </w:pPr>
    </w:p>
    <w:p w14:paraId="40E86082" w14:textId="77777777" w:rsidR="0049598E" w:rsidRPr="003B7773" w:rsidRDefault="0049598E" w:rsidP="0049598E">
      <w:pPr>
        <w:spacing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t>SELECT FINANCIAL RESULTS</w:t>
      </w:r>
    </w:p>
    <w:p w14:paraId="2DCB32BF" w14:textId="77777777" w:rsidR="00B925FF" w:rsidRDefault="00A170FB" w:rsidP="00DA067D">
      <w:pPr>
        <w:numPr>
          <w:ilvl w:val="0"/>
          <w:numId w:val="2"/>
        </w:numPr>
        <w:overflowPunct/>
        <w:autoSpaceDE/>
        <w:autoSpaceDN/>
        <w:adjustRightInd/>
        <w:spacing w:after="120"/>
        <w:jc w:val="both"/>
        <w:textAlignment w:val="auto"/>
        <w:rPr>
          <w:rFonts w:ascii="Cambria" w:hAnsi="Cambria" w:cs="Arial"/>
          <w:sz w:val="20"/>
        </w:rPr>
      </w:pPr>
      <w:r w:rsidRPr="00B925FF">
        <w:rPr>
          <w:rFonts w:ascii="Cambria" w:hAnsi="Cambria" w:cs="Arial"/>
          <w:sz w:val="20"/>
        </w:rPr>
        <w:t xml:space="preserve">Revenue </w:t>
      </w:r>
      <w:r w:rsidR="004707AA" w:rsidRPr="00537A80">
        <w:rPr>
          <w:rFonts w:ascii="Cambria" w:hAnsi="Cambria" w:cs="Arial"/>
          <w:sz w:val="20"/>
        </w:rPr>
        <w:t>for the quarter ended September 30, 2019 decreased by $127 or 3% from $4.0 million to $3.9 million compared to the same quarter in 2018.  This decrease was due to the substantial decline in drilling activity in the third quarter of 2019 compared to the third quarter of 2018</w:t>
      </w:r>
      <w:r w:rsidR="004707AA" w:rsidRPr="003A3C43">
        <w:rPr>
          <w:rFonts w:ascii="Cambria" w:hAnsi="Cambria" w:cs="Arial"/>
          <w:sz w:val="20"/>
        </w:rPr>
        <w:t xml:space="preserve">, as security and surveillance revenue increased $536 for the quarter ending September 30, 2019 compared to the quarter ending September 30, </w:t>
      </w:r>
      <w:r w:rsidR="004707AA">
        <w:rPr>
          <w:rFonts w:ascii="Cambria" w:hAnsi="Cambria" w:cs="Arial"/>
          <w:sz w:val="20"/>
        </w:rPr>
        <w:t>2018</w:t>
      </w:r>
      <w:r w:rsidR="00B925FF">
        <w:rPr>
          <w:rFonts w:ascii="Cambria" w:hAnsi="Cambria" w:cs="Arial"/>
          <w:sz w:val="20"/>
        </w:rPr>
        <w:t>.</w:t>
      </w:r>
    </w:p>
    <w:p w14:paraId="676682DB" w14:textId="77777777" w:rsidR="00B925FF" w:rsidRDefault="00A170FB" w:rsidP="009E1A45">
      <w:pPr>
        <w:numPr>
          <w:ilvl w:val="0"/>
          <w:numId w:val="2"/>
        </w:numPr>
        <w:overflowPunct/>
        <w:autoSpaceDE/>
        <w:autoSpaceDN/>
        <w:adjustRightInd/>
        <w:spacing w:after="120"/>
        <w:jc w:val="both"/>
        <w:textAlignment w:val="auto"/>
        <w:rPr>
          <w:rFonts w:ascii="Cambria" w:hAnsi="Cambria" w:cs="Arial"/>
          <w:sz w:val="20"/>
        </w:rPr>
      </w:pPr>
      <w:r w:rsidRPr="00B925FF">
        <w:rPr>
          <w:rFonts w:ascii="Cambria" w:hAnsi="Cambria" w:cs="Arial"/>
          <w:sz w:val="20"/>
        </w:rPr>
        <w:t>Adjusted</w:t>
      </w:r>
      <w:r w:rsidR="004707AA" w:rsidRPr="004707AA">
        <w:rPr>
          <w:rFonts w:ascii="Cambria" w:hAnsi="Cambria" w:cs="Arial"/>
          <w:sz w:val="20"/>
        </w:rPr>
        <w:t xml:space="preserve"> </w:t>
      </w:r>
      <w:r w:rsidR="004707AA" w:rsidRPr="00537A80">
        <w:rPr>
          <w:rFonts w:ascii="Cambria" w:hAnsi="Cambria" w:cs="Arial"/>
          <w:sz w:val="20"/>
        </w:rPr>
        <w:t>EBITDA for the quarter ended September 30, 2019 was $1,</w:t>
      </w:r>
      <w:r w:rsidR="004707AA">
        <w:rPr>
          <w:rFonts w:ascii="Cambria" w:hAnsi="Cambria" w:cs="Arial"/>
          <w:sz w:val="20"/>
        </w:rPr>
        <w:t>509</w:t>
      </w:r>
      <w:r w:rsidR="004707AA" w:rsidRPr="00537A80">
        <w:rPr>
          <w:rFonts w:ascii="Cambria" w:hAnsi="Cambria" w:cs="Arial"/>
          <w:sz w:val="20"/>
        </w:rPr>
        <w:t>, an increase of $3</w:t>
      </w:r>
      <w:r w:rsidR="004707AA">
        <w:rPr>
          <w:rFonts w:ascii="Cambria" w:hAnsi="Cambria" w:cs="Arial"/>
          <w:sz w:val="20"/>
        </w:rPr>
        <w:t>97</w:t>
      </w:r>
      <w:r w:rsidR="004707AA" w:rsidRPr="00537A80">
        <w:rPr>
          <w:rFonts w:ascii="Cambria" w:hAnsi="Cambria" w:cs="Arial"/>
          <w:sz w:val="20"/>
        </w:rPr>
        <w:t xml:space="preserve"> from the quarter ended September 30, 2018.  This increase is a result of the increase in security and surveillance revenue, along with a decrease in general and administrative costs.  General and administrative costs decreased by $606, or 42%, in the </w:t>
      </w:r>
      <w:r w:rsidR="004707AA">
        <w:rPr>
          <w:rFonts w:ascii="Cambria" w:hAnsi="Cambria" w:cs="Arial"/>
          <w:sz w:val="20"/>
        </w:rPr>
        <w:t>thir</w:t>
      </w:r>
      <w:r w:rsidR="004707AA" w:rsidRPr="00537A80">
        <w:rPr>
          <w:rFonts w:ascii="Cambria" w:hAnsi="Cambria" w:cs="Arial"/>
          <w:sz w:val="20"/>
        </w:rPr>
        <w:t xml:space="preserve">d quarter of 2019 when compared to the </w:t>
      </w:r>
      <w:r w:rsidR="004707AA">
        <w:rPr>
          <w:rFonts w:ascii="Cambria" w:hAnsi="Cambria" w:cs="Arial"/>
          <w:sz w:val="20"/>
        </w:rPr>
        <w:t>thir</w:t>
      </w:r>
      <w:r w:rsidR="004707AA" w:rsidRPr="00537A80">
        <w:rPr>
          <w:rFonts w:ascii="Cambria" w:hAnsi="Cambria" w:cs="Arial"/>
          <w:sz w:val="20"/>
        </w:rPr>
        <w:t xml:space="preserve">d quarter of 2018.  This decrease is largely due to the impact of IFRS 16, which resulted in a decrease in rent expense of $475 in the </w:t>
      </w:r>
      <w:r w:rsidR="004707AA">
        <w:rPr>
          <w:rFonts w:ascii="Cambria" w:hAnsi="Cambria" w:cs="Arial"/>
          <w:sz w:val="20"/>
        </w:rPr>
        <w:t>thir</w:t>
      </w:r>
      <w:r w:rsidR="004707AA" w:rsidRPr="00537A80">
        <w:rPr>
          <w:rFonts w:ascii="Cambria" w:hAnsi="Cambria" w:cs="Arial"/>
          <w:sz w:val="20"/>
        </w:rPr>
        <w:t>d quarter of 2019,</w:t>
      </w:r>
      <w:r w:rsidR="004707AA" w:rsidRPr="003A3C43">
        <w:rPr>
          <w:rFonts w:ascii="Cambria" w:hAnsi="Cambria" w:cs="Arial"/>
          <w:sz w:val="20"/>
        </w:rPr>
        <w:t xml:space="preserve"> a</w:t>
      </w:r>
      <w:r w:rsidR="004707AA" w:rsidRPr="00537A80">
        <w:rPr>
          <w:rFonts w:ascii="Cambria" w:hAnsi="Cambria" w:cs="Arial"/>
          <w:sz w:val="20"/>
        </w:rPr>
        <w:t>long with</w:t>
      </w:r>
      <w:r w:rsidR="004707AA" w:rsidRPr="003A3C43">
        <w:rPr>
          <w:rFonts w:ascii="Cambria" w:hAnsi="Cambria" w:cs="Arial"/>
          <w:sz w:val="20"/>
        </w:rPr>
        <w:t xml:space="preserve"> </w:t>
      </w:r>
      <w:r w:rsidR="004707AA" w:rsidRPr="00537A80">
        <w:rPr>
          <w:rFonts w:ascii="Cambria" w:hAnsi="Cambria" w:cs="Arial"/>
          <w:sz w:val="20"/>
        </w:rPr>
        <w:t>a focus on cost reduction and efficiencies.</w:t>
      </w:r>
    </w:p>
    <w:p w14:paraId="62B6F19C" w14:textId="77777777" w:rsidR="004707AA" w:rsidRPr="004707AA" w:rsidRDefault="00A170FB" w:rsidP="0091037D">
      <w:pPr>
        <w:widowControl w:val="0"/>
        <w:numPr>
          <w:ilvl w:val="0"/>
          <w:numId w:val="2"/>
        </w:numPr>
        <w:overflowPunct/>
        <w:spacing w:before="120" w:after="120"/>
        <w:ind w:left="714" w:hanging="357"/>
        <w:jc w:val="both"/>
        <w:textAlignment w:val="auto"/>
        <w:rPr>
          <w:rFonts w:asciiTheme="majorHAnsi" w:hAnsiTheme="majorHAnsi"/>
          <w:bCs/>
          <w:color w:val="000000"/>
          <w:sz w:val="20"/>
        </w:rPr>
      </w:pPr>
      <w:r w:rsidRPr="004707AA">
        <w:rPr>
          <w:rFonts w:ascii="Cambria" w:hAnsi="Cambria" w:cs="Arial"/>
          <w:sz w:val="20"/>
        </w:rPr>
        <w:t xml:space="preserve">During </w:t>
      </w:r>
      <w:r w:rsidR="004707AA" w:rsidRPr="003A3C43">
        <w:rPr>
          <w:rFonts w:ascii="Cambria" w:hAnsi="Cambria" w:cs="Arial"/>
          <w:sz w:val="20"/>
        </w:rPr>
        <w:t xml:space="preserve">the quarter ended </w:t>
      </w:r>
      <w:r w:rsidR="004707AA" w:rsidRPr="00537A80">
        <w:rPr>
          <w:rFonts w:ascii="Cambria" w:hAnsi="Cambria" w:cs="Arial"/>
          <w:sz w:val="20"/>
        </w:rPr>
        <w:t>September</w:t>
      </w:r>
      <w:r w:rsidR="004707AA" w:rsidRPr="003A3C43">
        <w:rPr>
          <w:rFonts w:ascii="Cambria" w:hAnsi="Cambria" w:cs="Arial"/>
          <w:sz w:val="20"/>
        </w:rPr>
        <w:t xml:space="preserve"> 3</w:t>
      </w:r>
      <w:r w:rsidR="004707AA" w:rsidRPr="00537A80">
        <w:rPr>
          <w:rFonts w:ascii="Cambria" w:hAnsi="Cambria" w:cs="Arial"/>
          <w:sz w:val="20"/>
        </w:rPr>
        <w:t>0</w:t>
      </w:r>
      <w:r w:rsidR="004707AA" w:rsidRPr="003A3C43">
        <w:rPr>
          <w:rFonts w:ascii="Cambria" w:hAnsi="Cambria" w:cs="Arial"/>
          <w:sz w:val="20"/>
        </w:rPr>
        <w:t>, 2019, the Company sold underutilized assets with a net book value of $</w:t>
      </w:r>
      <w:r w:rsidR="004707AA" w:rsidRPr="00537A80">
        <w:rPr>
          <w:rFonts w:ascii="Cambria" w:hAnsi="Cambria" w:cs="Arial"/>
          <w:sz w:val="20"/>
        </w:rPr>
        <w:t>1,095</w:t>
      </w:r>
      <w:r w:rsidR="004707AA" w:rsidRPr="003A3C43">
        <w:rPr>
          <w:rFonts w:ascii="Cambria" w:hAnsi="Cambria" w:cs="Arial"/>
          <w:sz w:val="20"/>
        </w:rPr>
        <w:t xml:space="preserve"> for proceeds of $</w:t>
      </w:r>
      <w:r w:rsidR="004707AA" w:rsidRPr="00537A80">
        <w:rPr>
          <w:rFonts w:ascii="Cambria" w:hAnsi="Cambria" w:cs="Arial"/>
          <w:sz w:val="20"/>
        </w:rPr>
        <w:t>761</w:t>
      </w:r>
      <w:r w:rsidR="004707AA" w:rsidRPr="003A3C43">
        <w:rPr>
          <w:rFonts w:ascii="Cambria" w:hAnsi="Cambria" w:cs="Arial"/>
          <w:sz w:val="20"/>
        </w:rPr>
        <w:t>.  The proceeds were used to pay down debt</w:t>
      </w:r>
      <w:r w:rsidR="004707AA" w:rsidRPr="00537A80">
        <w:rPr>
          <w:rFonts w:ascii="Cambria" w:hAnsi="Cambria" w:cs="Arial"/>
          <w:sz w:val="20"/>
        </w:rPr>
        <w:t xml:space="preserve"> in the fourth quarter of 2019</w:t>
      </w:r>
      <w:r w:rsidR="004707AA" w:rsidRPr="003A3C43">
        <w:rPr>
          <w:rFonts w:ascii="Cambria" w:hAnsi="Cambria" w:cs="Arial"/>
          <w:sz w:val="20"/>
        </w:rPr>
        <w:t xml:space="preserve">. </w:t>
      </w:r>
    </w:p>
    <w:p w14:paraId="1F5FD6A6" w14:textId="77777777" w:rsidR="00A170FB" w:rsidRPr="004707AA" w:rsidRDefault="00A170FB" w:rsidP="0091037D">
      <w:pPr>
        <w:widowControl w:val="0"/>
        <w:numPr>
          <w:ilvl w:val="0"/>
          <w:numId w:val="2"/>
        </w:numPr>
        <w:overflowPunct/>
        <w:spacing w:before="120" w:after="120"/>
        <w:ind w:left="714" w:hanging="357"/>
        <w:jc w:val="both"/>
        <w:textAlignment w:val="auto"/>
        <w:rPr>
          <w:rFonts w:asciiTheme="majorHAnsi" w:hAnsiTheme="majorHAnsi"/>
          <w:bCs/>
          <w:color w:val="000000"/>
          <w:sz w:val="20"/>
        </w:rPr>
      </w:pPr>
      <w:r w:rsidRPr="004707AA">
        <w:rPr>
          <w:rFonts w:asciiTheme="majorHAnsi" w:hAnsiTheme="majorHAnsi"/>
          <w:bCs/>
          <w:color w:val="000000"/>
          <w:sz w:val="20"/>
        </w:rPr>
        <w:t xml:space="preserve">Net </w:t>
      </w:r>
      <w:r w:rsidR="00B925FF" w:rsidRPr="004707AA">
        <w:rPr>
          <w:rFonts w:asciiTheme="majorHAnsi" w:hAnsiTheme="majorHAnsi"/>
          <w:bCs/>
          <w:color w:val="000000"/>
          <w:sz w:val="20"/>
        </w:rPr>
        <w:t xml:space="preserve">loss </w:t>
      </w:r>
      <w:r w:rsidR="004707AA">
        <w:rPr>
          <w:rFonts w:asciiTheme="majorHAnsi" w:hAnsiTheme="majorHAnsi"/>
          <w:bCs/>
          <w:color w:val="000000"/>
          <w:sz w:val="20"/>
        </w:rPr>
        <w:t>f</w:t>
      </w:r>
      <w:r w:rsidR="004707AA" w:rsidRPr="00537A80">
        <w:rPr>
          <w:rFonts w:asciiTheme="majorHAnsi" w:hAnsiTheme="majorHAnsi"/>
          <w:bCs/>
          <w:color w:val="000000"/>
          <w:sz w:val="20"/>
        </w:rPr>
        <w:t xml:space="preserve">rom operations </w:t>
      </w:r>
      <w:r w:rsidR="004707AA" w:rsidRPr="003A3C43">
        <w:rPr>
          <w:rFonts w:asciiTheme="majorHAnsi" w:hAnsiTheme="majorHAnsi"/>
          <w:bCs/>
          <w:color w:val="000000"/>
          <w:sz w:val="20"/>
        </w:rPr>
        <w:t>in</w:t>
      </w:r>
      <w:r w:rsidR="004707AA" w:rsidRPr="00537A80">
        <w:rPr>
          <w:rFonts w:asciiTheme="majorHAnsi" w:hAnsiTheme="majorHAnsi"/>
          <w:bCs/>
          <w:color w:val="000000"/>
          <w:sz w:val="20"/>
        </w:rPr>
        <w:t>creased by $</w:t>
      </w:r>
      <w:r w:rsidR="004707AA" w:rsidRPr="003A3C43">
        <w:rPr>
          <w:rFonts w:asciiTheme="majorHAnsi" w:hAnsiTheme="majorHAnsi"/>
          <w:bCs/>
          <w:color w:val="000000"/>
          <w:sz w:val="20"/>
        </w:rPr>
        <w:t>9</w:t>
      </w:r>
      <w:r w:rsidR="004707AA" w:rsidRPr="00537A80">
        <w:rPr>
          <w:rFonts w:asciiTheme="majorHAnsi" w:hAnsiTheme="majorHAnsi"/>
          <w:bCs/>
          <w:color w:val="000000"/>
          <w:sz w:val="20"/>
        </w:rPr>
        <w:t xml:space="preserve"> for the quarter ended September 30, 2019 when compared to the quarter ended September 30, 2018.  The marginal increase in net loss from operations is a result of the decrease in oilfield services revenue, which off-set the increase in revenue from security and surveillance.  Included in net loss from operations is a negative $25 impact from the adoption of the new IFRS 16 accounting standard.</w:t>
      </w:r>
    </w:p>
    <w:p w14:paraId="3ABA6423" w14:textId="77777777" w:rsidR="00A170FB" w:rsidRPr="004707AA" w:rsidRDefault="00A170FB" w:rsidP="00A170FB">
      <w:pPr>
        <w:pStyle w:val="ListParagraph"/>
        <w:widowControl w:val="0"/>
        <w:numPr>
          <w:ilvl w:val="0"/>
          <w:numId w:val="2"/>
        </w:numPr>
        <w:autoSpaceDE w:val="0"/>
        <w:autoSpaceDN w:val="0"/>
        <w:adjustRightInd w:val="0"/>
        <w:spacing w:before="120"/>
        <w:ind w:left="714" w:hanging="357"/>
        <w:jc w:val="both"/>
        <w:rPr>
          <w:rFonts w:asciiTheme="majorHAnsi" w:hAnsiTheme="majorHAnsi"/>
          <w:bCs/>
          <w:color w:val="000000"/>
          <w:sz w:val="20"/>
        </w:rPr>
      </w:pPr>
      <w:r w:rsidRPr="000B4AF2">
        <w:rPr>
          <w:rFonts w:asciiTheme="majorHAnsi" w:hAnsiTheme="majorHAnsi"/>
          <w:sz w:val="20"/>
        </w:rPr>
        <w:t>On March 25, 2019, the Company renewed the Loan and Security Agreement in the amount of $14.3 million for an additional 12 months</w:t>
      </w:r>
      <w:r w:rsidRPr="00DF7F5E">
        <w:rPr>
          <w:rFonts w:asciiTheme="majorHAnsi" w:hAnsiTheme="majorHAnsi"/>
          <w:sz w:val="20"/>
        </w:rPr>
        <w:t xml:space="preserve"> with the option to renew for an additional 12 months at the satisfaction of the lender</w:t>
      </w:r>
      <w:r w:rsidRPr="000B4AF2">
        <w:rPr>
          <w:rFonts w:asciiTheme="majorHAnsi" w:hAnsiTheme="majorHAnsi"/>
          <w:sz w:val="20"/>
        </w:rPr>
        <w:t>.  See Liquidity and Capital Resources section.</w:t>
      </w:r>
    </w:p>
    <w:p w14:paraId="1BA077A5" w14:textId="77777777" w:rsidR="004707AA" w:rsidRPr="003A3C43" w:rsidRDefault="004707AA" w:rsidP="004707AA">
      <w:pPr>
        <w:pStyle w:val="ListParagraph"/>
        <w:widowControl w:val="0"/>
        <w:numPr>
          <w:ilvl w:val="0"/>
          <w:numId w:val="2"/>
        </w:numPr>
        <w:autoSpaceDE w:val="0"/>
        <w:autoSpaceDN w:val="0"/>
        <w:adjustRightInd w:val="0"/>
        <w:spacing w:before="120"/>
        <w:ind w:left="714" w:hanging="357"/>
        <w:jc w:val="both"/>
        <w:rPr>
          <w:rFonts w:asciiTheme="majorHAnsi" w:hAnsiTheme="majorHAnsi"/>
          <w:bCs/>
          <w:color w:val="000000"/>
          <w:sz w:val="20"/>
        </w:rPr>
      </w:pPr>
      <w:r w:rsidRPr="003A3C43">
        <w:rPr>
          <w:rFonts w:asciiTheme="majorHAnsi" w:hAnsiTheme="majorHAnsi"/>
          <w:sz w:val="20"/>
        </w:rPr>
        <w:t>On September 26, 2019 the Company signed an amending agreement to the $13.5 million credit facility by extending the non-revolving term loan facility, reducing the equipment finance term loan facility and amending covenants.</w:t>
      </w:r>
      <w:r w:rsidRPr="00537A80">
        <w:rPr>
          <w:rFonts w:asciiTheme="majorHAnsi" w:hAnsiTheme="majorHAnsi"/>
          <w:sz w:val="20"/>
        </w:rPr>
        <w:t xml:space="preserve">  </w:t>
      </w:r>
      <w:r w:rsidRPr="003A3C43">
        <w:rPr>
          <w:rFonts w:asciiTheme="majorHAnsi" w:hAnsiTheme="majorHAnsi"/>
          <w:sz w:val="20"/>
        </w:rPr>
        <w:t>See Liquidity and Capital Resources section.</w:t>
      </w:r>
    </w:p>
    <w:p w14:paraId="761AC21D" w14:textId="77777777" w:rsidR="004707AA" w:rsidRPr="00DF7F5E" w:rsidRDefault="004707AA" w:rsidP="004707AA">
      <w:pPr>
        <w:pStyle w:val="ListParagraph"/>
        <w:widowControl w:val="0"/>
        <w:autoSpaceDE w:val="0"/>
        <w:autoSpaceDN w:val="0"/>
        <w:adjustRightInd w:val="0"/>
        <w:spacing w:before="120"/>
        <w:ind w:left="714"/>
        <w:jc w:val="both"/>
        <w:rPr>
          <w:rFonts w:asciiTheme="majorHAnsi" w:hAnsiTheme="majorHAnsi"/>
          <w:bCs/>
          <w:color w:val="000000"/>
          <w:sz w:val="20"/>
        </w:rPr>
      </w:pPr>
    </w:p>
    <w:p w14:paraId="7B95D62E" w14:textId="77777777" w:rsidR="00C54C3C" w:rsidRDefault="00A81C55" w:rsidP="00F638B0">
      <w:pPr>
        <w:spacing w:before="240"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t xml:space="preserve">SELECT </w:t>
      </w:r>
      <w:r w:rsidR="004D0558" w:rsidRPr="003B7773">
        <w:rPr>
          <w:rFonts w:asciiTheme="majorHAnsi" w:hAnsiTheme="majorHAnsi" w:cs="Arial"/>
          <w:b/>
          <w:bCs/>
          <w:sz w:val="20"/>
          <w:bdr w:val="none" w:sz="0" w:space="0" w:color="auto" w:frame="1"/>
        </w:rPr>
        <w:t xml:space="preserve">OPERATING </w:t>
      </w:r>
      <w:r w:rsidRPr="003B7773">
        <w:rPr>
          <w:rFonts w:asciiTheme="majorHAnsi" w:hAnsiTheme="majorHAnsi" w:cs="Arial"/>
          <w:b/>
          <w:bCs/>
          <w:sz w:val="20"/>
          <w:bdr w:val="none" w:sz="0" w:space="0" w:color="auto" w:frame="1"/>
        </w:rPr>
        <w:t>RESULTS</w:t>
      </w:r>
      <w:r w:rsidR="00C54C3C" w:rsidRPr="003B7773">
        <w:rPr>
          <w:rFonts w:asciiTheme="majorHAnsi" w:hAnsiTheme="majorHAnsi" w:cs="Arial"/>
          <w:b/>
          <w:bCs/>
          <w:sz w:val="20"/>
          <w:bdr w:val="none" w:sz="0" w:space="0" w:color="auto" w:frame="1"/>
        </w:rPr>
        <w:tab/>
      </w:r>
    </w:p>
    <w:p w14:paraId="3E46A875" w14:textId="77777777" w:rsidR="00A170FB" w:rsidRPr="003B7773" w:rsidRDefault="00A170FB" w:rsidP="00F638B0">
      <w:pPr>
        <w:spacing w:before="120" w:after="60" w:line="260" w:lineRule="atLeast"/>
        <w:jc w:val="both"/>
        <w:rPr>
          <w:rFonts w:asciiTheme="majorHAnsi" w:hAnsiTheme="majorHAnsi" w:cs="Arial"/>
          <w:b/>
          <w:bCs/>
          <w:sz w:val="20"/>
          <w:bdr w:val="none" w:sz="0" w:space="0" w:color="auto" w:frame="1"/>
        </w:rPr>
      </w:pPr>
      <w:r>
        <w:rPr>
          <w:rFonts w:asciiTheme="majorHAnsi" w:hAnsiTheme="majorHAnsi" w:cs="Arial"/>
          <w:b/>
          <w:bCs/>
          <w:sz w:val="20"/>
          <w:bdr w:val="none" w:sz="0" w:space="0" w:color="auto" w:frame="1"/>
        </w:rPr>
        <w:t>Energy Services Segment</w:t>
      </w:r>
    </w:p>
    <w:p w14:paraId="37B9732F" w14:textId="77777777" w:rsidR="004707AA" w:rsidRDefault="004707AA" w:rsidP="00FA53B7">
      <w:pPr>
        <w:pStyle w:val="BodyText"/>
        <w:numPr>
          <w:ilvl w:val="0"/>
          <w:numId w:val="3"/>
        </w:numPr>
        <w:spacing w:before="120"/>
        <w:rPr>
          <w:rFonts w:ascii="Cambria" w:hAnsi="Cambria"/>
          <w:sz w:val="20"/>
        </w:rPr>
      </w:pPr>
      <w:r>
        <w:rPr>
          <w:rFonts w:ascii="Cambria" w:hAnsi="Cambria"/>
          <w:sz w:val="20"/>
        </w:rPr>
        <w:t>The</w:t>
      </w:r>
      <w:r w:rsidRPr="004707AA">
        <w:rPr>
          <w:rFonts w:ascii="Cambria" w:hAnsi="Cambria"/>
          <w:sz w:val="20"/>
        </w:rPr>
        <w:t xml:space="preserve"> </w:t>
      </w:r>
      <w:r w:rsidRPr="00537A80">
        <w:rPr>
          <w:rFonts w:ascii="Cambria" w:hAnsi="Cambria"/>
          <w:sz w:val="20"/>
        </w:rPr>
        <w:t xml:space="preserve">third quarter of 2019 saw commodity prices in the oil and gas sector in Western Canada drop slightly when compared to the third quarter of 2018, however drilling activity declined significantly over the same period.  </w:t>
      </w:r>
      <w:r>
        <w:rPr>
          <w:rFonts w:ascii="Cambria" w:hAnsi="Cambria"/>
          <w:sz w:val="20"/>
        </w:rPr>
        <w:t>The number</w:t>
      </w:r>
      <w:r w:rsidRPr="00537A80">
        <w:rPr>
          <w:rFonts w:ascii="Cambria" w:hAnsi="Cambria"/>
          <w:sz w:val="20"/>
        </w:rPr>
        <w:t xml:space="preserve"> of active rigs in Western Canada dropped by over 50% in the third quarter of 2019 when compared to the third quarter of 2018, as a result the Company’s utilization decreased.  </w:t>
      </w:r>
    </w:p>
    <w:p w14:paraId="6084B461" w14:textId="77777777" w:rsidR="00A170FB" w:rsidRPr="004707AA" w:rsidRDefault="00A170FB" w:rsidP="00FA53B7">
      <w:pPr>
        <w:pStyle w:val="BodyText"/>
        <w:numPr>
          <w:ilvl w:val="0"/>
          <w:numId w:val="3"/>
        </w:numPr>
        <w:spacing w:before="120"/>
        <w:rPr>
          <w:rFonts w:ascii="Cambria" w:hAnsi="Cambria"/>
          <w:sz w:val="20"/>
        </w:rPr>
      </w:pPr>
      <w:r w:rsidRPr="004707AA">
        <w:rPr>
          <w:rFonts w:ascii="Cambria" w:hAnsi="Cambria"/>
          <w:sz w:val="20"/>
        </w:rPr>
        <w:t xml:space="preserve">For </w:t>
      </w:r>
      <w:r w:rsidR="00B925FF" w:rsidRPr="004707AA">
        <w:rPr>
          <w:rFonts w:ascii="Cambria" w:hAnsi="Cambria"/>
          <w:sz w:val="20"/>
        </w:rPr>
        <w:t xml:space="preserve">the </w:t>
      </w:r>
      <w:r w:rsidR="004707AA" w:rsidRPr="00537A80">
        <w:rPr>
          <w:rFonts w:ascii="Cambria" w:hAnsi="Cambria"/>
          <w:sz w:val="20"/>
        </w:rPr>
        <w:t>quarter ending September 30, 2019 revenue was $2.6 million, a decrease of $663 when compared to the same quarter in 2018.  Gross margin decreased by $349 compared to the quarter ended September 30, 2018.  The decrease in both revenue and gross margin is a direct result of the decrease in drilling activity.  However, the impact to gross margin was reduced by</w:t>
      </w:r>
      <w:r w:rsidR="004707AA">
        <w:rPr>
          <w:rFonts w:ascii="Cambria" w:hAnsi="Cambria"/>
          <w:sz w:val="20"/>
        </w:rPr>
        <w:t xml:space="preserve"> a</w:t>
      </w:r>
      <w:r w:rsidR="004707AA" w:rsidRPr="00537A80">
        <w:rPr>
          <w:rFonts w:ascii="Cambria" w:hAnsi="Cambria"/>
          <w:sz w:val="20"/>
        </w:rPr>
        <w:t xml:space="preserve"> continued focus on streamlining costs and improving operational efficiencies, along with the transition to IFRS, which had a positive impact of $</w:t>
      </w:r>
      <w:r w:rsidR="004707AA" w:rsidRPr="003A3C43">
        <w:rPr>
          <w:rFonts w:ascii="Cambria" w:hAnsi="Cambria"/>
          <w:sz w:val="20"/>
        </w:rPr>
        <w:t>32</w:t>
      </w:r>
      <w:r w:rsidR="004707AA" w:rsidRPr="00537A80">
        <w:rPr>
          <w:rFonts w:ascii="Cambria" w:hAnsi="Cambria"/>
          <w:sz w:val="20"/>
        </w:rPr>
        <w:t xml:space="preserve"> on gross margin in the third quarter of 2019.</w:t>
      </w:r>
    </w:p>
    <w:p w14:paraId="5E08D310" w14:textId="77777777" w:rsidR="00A170FB" w:rsidRPr="003B7773" w:rsidRDefault="00A170FB" w:rsidP="00F638B0">
      <w:pPr>
        <w:spacing w:before="120" w:after="60" w:line="260" w:lineRule="atLeast"/>
        <w:jc w:val="both"/>
        <w:rPr>
          <w:rFonts w:asciiTheme="majorHAnsi" w:hAnsiTheme="majorHAnsi" w:cs="Arial"/>
          <w:b/>
          <w:bCs/>
          <w:sz w:val="20"/>
          <w:bdr w:val="none" w:sz="0" w:space="0" w:color="auto" w:frame="1"/>
        </w:rPr>
      </w:pPr>
      <w:r>
        <w:rPr>
          <w:rFonts w:asciiTheme="majorHAnsi" w:hAnsiTheme="majorHAnsi" w:cs="Arial"/>
          <w:b/>
          <w:bCs/>
          <w:sz w:val="20"/>
          <w:bdr w:val="none" w:sz="0" w:space="0" w:color="auto" w:frame="1"/>
        </w:rPr>
        <w:t>Security and Surveillance Segment</w:t>
      </w:r>
    </w:p>
    <w:p w14:paraId="13960740" w14:textId="77777777" w:rsidR="00A170FB" w:rsidRPr="000B4AF2" w:rsidRDefault="00A170FB" w:rsidP="00A170FB">
      <w:pPr>
        <w:pStyle w:val="BodyText"/>
        <w:numPr>
          <w:ilvl w:val="0"/>
          <w:numId w:val="3"/>
        </w:numPr>
        <w:rPr>
          <w:rFonts w:ascii="Cambria" w:hAnsi="Cambria"/>
          <w:sz w:val="20"/>
        </w:rPr>
      </w:pPr>
      <w:r w:rsidRPr="000B4AF2">
        <w:rPr>
          <w:rFonts w:ascii="Cambria" w:hAnsi="Cambria"/>
          <w:sz w:val="20"/>
        </w:rPr>
        <w:t>In the third quarter of 2018, the Company signed a Security Services Contract with a Canadian based pipeline company to provide exclusive security</w:t>
      </w:r>
      <w:r>
        <w:rPr>
          <w:rFonts w:ascii="Cambria" w:hAnsi="Cambria"/>
          <w:sz w:val="20"/>
        </w:rPr>
        <w:t xml:space="preserve"> and surveillance</w:t>
      </w:r>
      <w:r w:rsidRPr="000B4AF2">
        <w:rPr>
          <w:rFonts w:ascii="Cambria" w:hAnsi="Cambria"/>
          <w:sz w:val="20"/>
        </w:rPr>
        <w:t xml:space="preserve"> services for a pipeline replacement project.  The project began in the fall of 2018 and will cont</w:t>
      </w:r>
      <w:r>
        <w:rPr>
          <w:rFonts w:ascii="Cambria" w:hAnsi="Cambria"/>
          <w:sz w:val="20"/>
        </w:rPr>
        <w:t xml:space="preserve">inue into the </w:t>
      </w:r>
      <w:r w:rsidR="00C135DC">
        <w:rPr>
          <w:rFonts w:ascii="Cambria" w:hAnsi="Cambria"/>
          <w:sz w:val="20"/>
        </w:rPr>
        <w:t>first quarter of 2020</w:t>
      </w:r>
      <w:r>
        <w:rPr>
          <w:rFonts w:ascii="Cambria" w:hAnsi="Cambria"/>
          <w:sz w:val="20"/>
        </w:rPr>
        <w:t xml:space="preserve">.  </w:t>
      </w:r>
      <w:r w:rsidRPr="000B4AF2">
        <w:rPr>
          <w:rFonts w:ascii="Cambria" w:hAnsi="Cambria"/>
          <w:sz w:val="20"/>
        </w:rPr>
        <w:t xml:space="preserve"> </w:t>
      </w:r>
    </w:p>
    <w:p w14:paraId="7DA0CE14" w14:textId="77777777" w:rsidR="00A170FB" w:rsidRPr="000B4AF2" w:rsidRDefault="00A170FB" w:rsidP="00A170FB">
      <w:pPr>
        <w:pStyle w:val="BodyText"/>
        <w:numPr>
          <w:ilvl w:val="0"/>
          <w:numId w:val="3"/>
        </w:numPr>
        <w:spacing w:before="120"/>
        <w:rPr>
          <w:rFonts w:ascii="Cambria" w:hAnsi="Cambria"/>
          <w:sz w:val="20"/>
        </w:rPr>
      </w:pPr>
      <w:r w:rsidRPr="000B4AF2">
        <w:rPr>
          <w:rFonts w:ascii="Cambria" w:hAnsi="Cambria"/>
          <w:sz w:val="20"/>
        </w:rPr>
        <w:t xml:space="preserve">The Security </w:t>
      </w:r>
      <w:r w:rsidR="004707AA" w:rsidRPr="00537A80">
        <w:rPr>
          <w:rFonts w:ascii="Cambria" w:hAnsi="Cambria"/>
          <w:sz w:val="20"/>
        </w:rPr>
        <w:t>and Surveillance segment continues to expand as it moves into alternative industry segments including industrial facilities and commercial construction.  As a result of this growth, during 2019 an additional fourteen solar hybrid light towers were equipped with high resolution security cameras in order to increase the size of the security and surveillance fleet and meet demand</w:t>
      </w:r>
      <w:r w:rsidR="004707AA">
        <w:rPr>
          <w:rFonts w:ascii="Cambria" w:hAnsi="Cambria"/>
          <w:sz w:val="20"/>
        </w:rPr>
        <w:t>.</w:t>
      </w:r>
    </w:p>
    <w:p w14:paraId="1D0EDF70" w14:textId="77777777" w:rsidR="00A170FB" w:rsidRPr="00A170FB" w:rsidRDefault="00A170FB" w:rsidP="00A170FB">
      <w:pPr>
        <w:pStyle w:val="BodyText"/>
        <w:numPr>
          <w:ilvl w:val="0"/>
          <w:numId w:val="3"/>
        </w:numPr>
        <w:spacing w:before="120"/>
        <w:rPr>
          <w:rFonts w:ascii="Cambria" w:hAnsi="Cambria"/>
          <w:sz w:val="20"/>
        </w:rPr>
      </w:pPr>
      <w:r w:rsidRPr="000B4AF2">
        <w:rPr>
          <w:rFonts w:ascii="Cambria" w:hAnsi="Cambria"/>
          <w:sz w:val="20"/>
        </w:rPr>
        <w:t xml:space="preserve">Revenue </w:t>
      </w:r>
      <w:r w:rsidR="00B925FF" w:rsidRPr="0047616E">
        <w:rPr>
          <w:rFonts w:ascii="Cambria" w:hAnsi="Cambria"/>
          <w:sz w:val="20"/>
        </w:rPr>
        <w:t xml:space="preserve">for the quarter </w:t>
      </w:r>
      <w:r w:rsidR="004707AA" w:rsidRPr="00537A80">
        <w:rPr>
          <w:rFonts w:ascii="Cambria" w:hAnsi="Cambria"/>
          <w:sz w:val="20"/>
        </w:rPr>
        <w:t xml:space="preserve">ended September 30, 2019 increased by $536, or 71%, due to increased activity on the pipeline replacement project and expansion of the segments customer base.  As a result gross margin increased from $164 for the quarter ended September 30, 2018 to $473 for the quarter ended September 30, 2019.   </w:t>
      </w:r>
    </w:p>
    <w:p w14:paraId="5E9E7D10" w14:textId="77777777" w:rsidR="00FC2853" w:rsidRDefault="00B925FF" w:rsidP="00F638B0">
      <w:pPr>
        <w:pStyle w:val="BodyText"/>
        <w:spacing w:before="240"/>
        <w:rPr>
          <w:rFonts w:ascii="Cambria" w:hAnsi="Cambria"/>
          <w:b/>
          <w:sz w:val="24"/>
          <w:szCs w:val="24"/>
        </w:rPr>
      </w:pPr>
      <w:r>
        <w:rPr>
          <w:rFonts w:ascii="Cambria" w:hAnsi="Cambria"/>
          <w:b/>
          <w:sz w:val="24"/>
          <w:szCs w:val="24"/>
        </w:rPr>
        <w:t xml:space="preserve">  </w:t>
      </w:r>
      <w:r w:rsidR="00FC2853" w:rsidRPr="006F2580">
        <w:rPr>
          <w:rFonts w:ascii="Cambria" w:hAnsi="Cambria"/>
          <w:b/>
          <w:sz w:val="24"/>
          <w:szCs w:val="24"/>
        </w:rPr>
        <w:t>SELECTED QUARTERLY FINANCIAL INFORMATION</w:t>
      </w:r>
    </w:p>
    <w:tbl>
      <w:tblPr>
        <w:tblW w:w="4992" w:type="pct"/>
        <w:tblInd w:w="142" w:type="dxa"/>
        <w:tblLayout w:type="fixed"/>
        <w:tblLook w:val="01E0" w:firstRow="1" w:lastRow="1" w:firstColumn="1" w:lastColumn="1" w:noHBand="0" w:noVBand="0"/>
      </w:tblPr>
      <w:tblGrid>
        <w:gridCol w:w="2987"/>
        <w:gridCol w:w="992"/>
        <w:gridCol w:w="717"/>
        <w:gridCol w:w="137"/>
        <w:gridCol w:w="141"/>
        <w:gridCol w:w="236"/>
        <w:gridCol w:w="618"/>
        <w:gridCol w:w="982"/>
        <w:gridCol w:w="845"/>
        <w:gridCol w:w="849"/>
        <w:gridCol w:w="711"/>
        <w:gridCol w:w="849"/>
      </w:tblGrid>
      <w:tr w:rsidR="004707AA" w:rsidRPr="0047616E" w14:paraId="2D6C291C" w14:textId="77777777" w:rsidTr="004707AA">
        <w:trPr>
          <w:trHeight w:val="758"/>
        </w:trPr>
        <w:tc>
          <w:tcPr>
            <w:tcW w:w="1484" w:type="pct"/>
            <w:tcBorders>
              <w:top w:val="single" w:sz="12" w:space="0" w:color="auto"/>
              <w:bottom w:val="single" w:sz="4" w:space="0" w:color="auto"/>
            </w:tcBorders>
            <w:shd w:val="clear" w:color="auto" w:fill="auto"/>
            <w:vAlign w:val="bottom"/>
          </w:tcPr>
          <w:p w14:paraId="0130C38E" w14:textId="77777777" w:rsidR="004707AA" w:rsidRPr="0047616E" w:rsidRDefault="004707AA" w:rsidP="004707AA">
            <w:pPr>
              <w:pStyle w:val="BodyText"/>
              <w:spacing w:before="120"/>
              <w:rPr>
                <w:rFonts w:ascii="Cambria" w:hAnsi="Cambria"/>
                <w:b/>
                <w:sz w:val="18"/>
                <w:szCs w:val="18"/>
              </w:rPr>
            </w:pPr>
            <w:r w:rsidRPr="0047616E">
              <w:rPr>
                <w:rFonts w:ascii="Cambria" w:hAnsi="Cambria"/>
                <w:b/>
                <w:sz w:val="18"/>
                <w:szCs w:val="18"/>
              </w:rPr>
              <w:t>(Unaudited – in $000s)</w:t>
            </w:r>
          </w:p>
        </w:tc>
        <w:tc>
          <w:tcPr>
            <w:tcW w:w="493" w:type="pct"/>
            <w:tcBorders>
              <w:top w:val="single" w:sz="12" w:space="0" w:color="auto"/>
              <w:bottom w:val="single" w:sz="4" w:space="0" w:color="auto"/>
            </w:tcBorders>
            <w:vAlign w:val="bottom"/>
          </w:tcPr>
          <w:p w14:paraId="46CAD1E9" w14:textId="77777777" w:rsidR="004707AA" w:rsidRPr="0047616E" w:rsidRDefault="004707AA" w:rsidP="004707AA">
            <w:pPr>
              <w:pStyle w:val="BodyText"/>
              <w:ind w:right="-46"/>
              <w:jc w:val="right"/>
              <w:rPr>
                <w:rFonts w:ascii="Cambria" w:hAnsi="Cambria"/>
                <w:b/>
                <w:sz w:val="18"/>
                <w:szCs w:val="18"/>
              </w:rPr>
            </w:pPr>
            <w:r>
              <w:rPr>
                <w:rFonts w:ascii="Cambria" w:hAnsi="Cambria"/>
                <w:b/>
                <w:sz w:val="18"/>
                <w:szCs w:val="18"/>
              </w:rPr>
              <w:t>Sept</w:t>
            </w:r>
          </w:p>
          <w:p w14:paraId="6DE3C1BE"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30</w:t>
            </w:r>
          </w:p>
          <w:p w14:paraId="558C831E"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2019</w:t>
            </w:r>
          </w:p>
        </w:tc>
        <w:tc>
          <w:tcPr>
            <w:tcW w:w="424" w:type="pct"/>
            <w:gridSpan w:val="2"/>
            <w:tcBorders>
              <w:top w:val="single" w:sz="12" w:space="0" w:color="auto"/>
              <w:bottom w:val="single" w:sz="4" w:space="0" w:color="auto"/>
            </w:tcBorders>
            <w:vAlign w:val="bottom"/>
          </w:tcPr>
          <w:p w14:paraId="0A8F01B9"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June</w:t>
            </w:r>
          </w:p>
          <w:p w14:paraId="2B41D84C"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30</w:t>
            </w:r>
          </w:p>
          <w:p w14:paraId="18139708"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2019</w:t>
            </w:r>
          </w:p>
        </w:tc>
        <w:tc>
          <w:tcPr>
            <w:tcW w:w="494" w:type="pct"/>
            <w:gridSpan w:val="3"/>
            <w:tcBorders>
              <w:top w:val="single" w:sz="12" w:space="0" w:color="auto"/>
              <w:bottom w:val="single" w:sz="4" w:space="0" w:color="auto"/>
            </w:tcBorders>
            <w:vAlign w:val="bottom"/>
          </w:tcPr>
          <w:p w14:paraId="4295C2F5"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March</w:t>
            </w:r>
          </w:p>
          <w:p w14:paraId="0664FB90"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31</w:t>
            </w:r>
          </w:p>
          <w:p w14:paraId="6B136C85"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2019</w:t>
            </w:r>
          </w:p>
        </w:tc>
        <w:tc>
          <w:tcPr>
            <w:tcW w:w="487" w:type="pct"/>
            <w:tcBorders>
              <w:top w:val="single" w:sz="12" w:space="0" w:color="auto"/>
              <w:bottom w:val="single" w:sz="4" w:space="0" w:color="auto"/>
            </w:tcBorders>
            <w:shd w:val="clear" w:color="auto" w:fill="auto"/>
            <w:vAlign w:val="bottom"/>
          </w:tcPr>
          <w:p w14:paraId="633726C5"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Dec</w:t>
            </w:r>
          </w:p>
          <w:p w14:paraId="55D74887"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31</w:t>
            </w:r>
          </w:p>
          <w:p w14:paraId="3F0651A3"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2018</w:t>
            </w:r>
          </w:p>
        </w:tc>
        <w:tc>
          <w:tcPr>
            <w:tcW w:w="420" w:type="pct"/>
            <w:tcBorders>
              <w:top w:val="single" w:sz="12" w:space="0" w:color="auto"/>
              <w:bottom w:val="single" w:sz="4" w:space="0" w:color="auto"/>
            </w:tcBorders>
            <w:shd w:val="clear" w:color="auto" w:fill="auto"/>
            <w:vAlign w:val="bottom"/>
          </w:tcPr>
          <w:p w14:paraId="7076B7F3"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Sept</w:t>
            </w:r>
          </w:p>
          <w:p w14:paraId="157BC809"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30</w:t>
            </w:r>
          </w:p>
          <w:p w14:paraId="48B5C455"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2018</w:t>
            </w:r>
          </w:p>
        </w:tc>
        <w:tc>
          <w:tcPr>
            <w:tcW w:w="422" w:type="pct"/>
            <w:tcBorders>
              <w:top w:val="single" w:sz="12" w:space="0" w:color="auto"/>
              <w:bottom w:val="single" w:sz="4" w:space="0" w:color="auto"/>
            </w:tcBorders>
            <w:shd w:val="clear" w:color="auto" w:fill="auto"/>
            <w:vAlign w:val="bottom"/>
          </w:tcPr>
          <w:p w14:paraId="0039BA2A"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Jun</w:t>
            </w:r>
          </w:p>
          <w:p w14:paraId="41A78319"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30</w:t>
            </w:r>
          </w:p>
          <w:p w14:paraId="525D2582"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2018</w:t>
            </w:r>
          </w:p>
        </w:tc>
        <w:tc>
          <w:tcPr>
            <w:tcW w:w="353" w:type="pct"/>
            <w:tcBorders>
              <w:top w:val="single" w:sz="12" w:space="0" w:color="auto"/>
              <w:bottom w:val="single" w:sz="4" w:space="0" w:color="auto"/>
            </w:tcBorders>
            <w:shd w:val="clear" w:color="auto" w:fill="auto"/>
            <w:vAlign w:val="bottom"/>
          </w:tcPr>
          <w:p w14:paraId="5A74C2C4"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Mar</w:t>
            </w:r>
          </w:p>
          <w:p w14:paraId="4C60D18A"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31</w:t>
            </w:r>
          </w:p>
          <w:p w14:paraId="39536A08"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2018</w:t>
            </w:r>
          </w:p>
        </w:tc>
        <w:tc>
          <w:tcPr>
            <w:tcW w:w="422" w:type="pct"/>
            <w:tcBorders>
              <w:top w:val="single" w:sz="12" w:space="0" w:color="auto"/>
              <w:bottom w:val="single" w:sz="4" w:space="0" w:color="auto"/>
            </w:tcBorders>
            <w:shd w:val="clear" w:color="auto" w:fill="auto"/>
            <w:vAlign w:val="bottom"/>
          </w:tcPr>
          <w:p w14:paraId="50179903"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Dec</w:t>
            </w:r>
          </w:p>
          <w:p w14:paraId="3455D558"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31</w:t>
            </w:r>
          </w:p>
          <w:p w14:paraId="5BE64EDC" w14:textId="77777777" w:rsidR="004707AA" w:rsidRPr="0047616E" w:rsidRDefault="004707AA" w:rsidP="004707AA">
            <w:pPr>
              <w:pStyle w:val="BodyText"/>
              <w:ind w:right="-46"/>
              <w:jc w:val="right"/>
              <w:rPr>
                <w:rFonts w:ascii="Cambria" w:hAnsi="Cambria"/>
                <w:b/>
                <w:sz w:val="18"/>
                <w:szCs w:val="18"/>
              </w:rPr>
            </w:pPr>
            <w:r w:rsidRPr="0047616E">
              <w:rPr>
                <w:rFonts w:ascii="Cambria" w:hAnsi="Cambria"/>
                <w:b/>
                <w:sz w:val="18"/>
                <w:szCs w:val="18"/>
              </w:rPr>
              <w:t>2017</w:t>
            </w:r>
          </w:p>
        </w:tc>
      </w:tr>
      <w:tr w:rsidR="004707AA" w:rsidRPr="0047616E" w14:paraId="6D6E4521" w14:textId="77777777" w:rsidTr="004707AA">
        <w:trPr>
          <w:trHeight w:val="323"/>
        </w:trPr>
        <w:tc>
          <w:tcPr>
            <w:tcW w:w="1484" w:type="pct"/>
            <w:tcBorders>
              <w:top w:val="single" w:sz="4" w:space="0" w:color="auto"/>
            </w:tcBorders>
            <w:shd w:val="clear" w:color="auto" w:fill="auto"/>
          </w:tcPr>
          <w:p w14:paraId="2971F32F" w14:textId="77777777" w:rsidR="004707AA" w:rsidRPr="0047616E" w:rsidRDefault="004707AA" w:rsidP="004707AA">
            <w:pPr>
              <w:pStyle w:val="BodyText"/>
              <w:spacing w:before="120"/>
              <w:ind w:left="-36"/>
              <w:rPr>
                <w:rFonts w:ascii="Cambria" w:hAnsi="Cambria"/>
                <w:b/>
                <w:sz w:val="18"/>
                <w:szCs w:val="18"/>
              </w:rPr>
            </w:pPr>
            <w:r w:rsidRPr="0047616E">
              <w:rPr>
                <w:rFonts w:ascii="Cambria" w:hAnsi="Cambria"/>
                <w:b/>
                <w:sz w:val="18"/>
                <w:szCs w:val="18"/>
              </w:rPr>
              <w:t>Revenue</w:t>
            </w:r>
          </w:p>
        </w:tc>
        <w:tc>
          <w:tcPr>
            <w:tcW w:w="493" w:type="pct"/>
            <w:tcBorders>
              <w:top w:val="single" w:sz="4" w:space="0" w:color="auto"/>
            </w:tcBorders>
            <w:vAlign w:val="bottom"/>
          </w:tcPr>
          <w:p w14:paraId="138B2E04"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w:t>
            </w:r>
            <w:r>
              <w:rPr>
                <w:rFonts w:ascii="Cambria" w:hAnsi="Cambria"/>
                <w:sz w:val="18"/>
                <w:szCs w:val="18"/>
              </w:rPr>
              <w:t>865</w:t>
            </w:r>
          </w:p>
        </w:tc>
        <w:tc>
          <w:tcPr>
            <w:tcW w:w="424" w:type="pct"/>
            <w:gridSpan w:val="2"/>
            <w:tcBorders>
              <w:top w:val="single" w:sz="4" w:space="0" w:color="auto"/>
            </w:tcBorders>
            <w:vAlign w:val="bottom"/>
          </w:tcPr>
          <w:p w14:paraId="5D70FE0F"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3,750</w:t>
            </w:r>
          </w:p>
        </w:tc>
        <w:tc>
          <w:tcPr>
            <w:tcW w:w="494" w:type="pct"/>
            <w:gridSpan w:val="3"/>
            <w:tcBorders>
              <w:top w:val="single" w:sz="4" w:space="0" w:color="auto"/>
            </w:tcBorders>
            <w:vAlign w:val="bottom"/>
          </w:tcPr>
          <w:p w14:paraId="52CF5E8A"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5,963</w:t>
            </w:r>
          </w:p>
        </w:tc>
        <w:tc>
          <w:tcPr>
            <w:tcW w:w="487" w:type="pct"/>
            <w:tcBorders>
              <w:top w:val="single" w:sz="4" w:space="0" w:color="auto"/>
            </w:tcBorders>
            <w:shd w:val="clear" w:color="auto" w:fill="auto"/>
            <w:vAlign w:val="bottom"/>
          </w:tcPr>
          <w:p w14:paraId="786AACD8"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4,824</w:t>
            </w:r>
          </w:p>
        </w:tc>
        <w:tc>
          <w:tcPr>
            <w:tcW w:w="420" w:type="pct"/>
            <w:tcBorders>
              <w:top w:val="single" w:sz="4" w:space="0" w:color="auto"/>
            </w:tcBorders>
            <w:shd w:val="clear" w:color="auto" w:fill="auto"/>
            <w:vAlign w:val="bottom"/>
          </w:tcPr>
          <w:p w14:paraId="2F75DD12"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3,992</w:t>
            </w:r>
          </w:p>
        </w:tc>
        <w:tc>
          <w:tcPr>
            <w:tcW w:w="422" w:type="pct"/>
            <w:tcBorders>
              <w:top w:val="single" w:sz="4" w:space="0" w:color="auto"/>
            </w:tcBorders>
            <w:shd w:val="clear" w:color="auto" w:fill="auto"/>
            <w:vAlign w:val="bottom"/>
          </w:tcPr>
          <w:p w14:paraId="57AEC617"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3,408</w:t>
            </w:r>
          </w:p>
        </w:tc>
        <w:tc>
          <w:tcPr>
            <w:tcW w:w="353" w:type="pct"/>
            <w:tcBorders>
              <w:top w:val="single" w:sz="4" w:space="0" w:color="auto"/>
            </w:tcBorders>
            <w:shd w:val="clear" w:color="auto" w:fill="auto"/>
            <w:vAlign w:val="bottom"/>
          </w:tcPr>
          <w:p w14:paraId="66F2564A"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5,228</w:t>
            </w:r>
          </w:p>
        </w:tc>
        <w:tc>
          <w:tcPr>
            <w:tcW w:w="422" w:type="pct"/>
            <w:tcBorders>
              <w:top w:val="single" w:sz="4" w:space="0" w:color="auto"/>
            </w:tcBorders>
            <w:shd w:val="clear" w:color="auto" w:fill="auto"/>
            <w:vAlign w:val="bottom"/>
          </w:tcPr>
          <w:p w14:paraId="79E55156"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4,306</w:t>
            </w:r>
          </w:p>
        </w:tc>
      </w:tr>
      <w:tr w:rsidR="004707AA" w:rsidRPr="0047616E" w14:paraId="3001E577" w14:textId="77777777" w:rsidTr="004707AA">
        <w:trPr>
          <w:trHeight w:val="385"/>
        </w:trPr>
        <w:tc>
          <w:tcPr>
            <w:tcW w:w="1484" w:type="pct"/>
            <w:shd w:val="clear" w:color="auto" w:fill="auto"/>
            <w:vAlign w:val="bottom"/>
          </w:tcPr>
          <w:p w14:paraId="3A5EEA9D" w14:textId="77777777" w:rsidR="004707AA" w:rsidRPr="0047616E" w:rsidRDefault="004707AA" w:rsidP="004707AA">
            <w:pPr>
              <w:pStyle w:val="BodyText"/>
              <w:spacing w:before="120"/>
              <w:ind w:left="-36"/>
              <w:jc w:val="left"/>
              <w:rPr>
                <w:rFonts w:ascii="Cambria" w:hAnsi="Cambria"/>
                <w:b/>
                <w:sz w:val="18"/>
                <w:szCs w:val="18"/>
              </w:rPr>
            </w:pPr>
            <w:r w:rsidRPr="0047616E">
              <w:rPr>
                <w:rFonts w:ascii="Cambria" w:hAnsi="Cambria"/>
                <w:b/>
                <w:sz w:val="18"/>
                <w:szCs w:val="18"/>
              </w:rPr>
              <w:t>Net loss from operations</w:t>
            </w:r>
          </w:p>
        </w:tc>
        <w:tc>
          <w:tcPr>
            <w:tcW w:w="493" w:type="pct"/>
            <w:vAlign w:val="bottom"/>
          </w:tcPr>
          <w:p w14:paraId="665B6AF7"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w:t>
            </w:r>
            <w:r>
              <w:rPr>
                <w:rFonts w:ascii="Cambria" w:hAnsi="Cambria"/>
                <w:sz w:val="18"/>
                <w:szCs w:val="18"/>
              </w:rPr>
              <w:t>617</w:t>
            </w:r>
            <w:r w:rsidRPr="0047616E">
              <w:rPr>
                <w:rFonts w:ascii="Cambria" w:hAnsi="Cambria"/>
                <w:sz w:val="18"/>
                <w:szCs w:val="18"/>
              </w:rPr>
              <w:t>)</w:t>
            </w:r>
          </w:p>
        </w:tc>
        <w:tc>
          <w:tcPr>
            <w:tcW w:w="424" w:type="pct"/>
            <w:gridSpan w:val="2"/>
            <w:vAlign w:val="bottom"/>
          </w:tcPr>
          <w:p w14:paraId="5C236F14"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w:t>
            </w:r>
            <w:r>
              <w:rPr>
                <w:rFonts w:ascii="Cambria" w:hAnsi="Cambria"/>
                <w:sz w:val="18"/>
                <w:szCs w:val="18"/>
              </w:rPr>
              <w:t>805</w:t>
            </w:r>
            <w:r w:rsidRPr="0047616E">
              <w:rPr>
                <w:rFonts w:ascii="Cambria" w:hAnsi="Cambria"/>
                <w:sz w:val="18"/>
                <w:szCs w:val="18"/>
              </w:rPr>
              <w:t>)</w:t>
            </w:r>
          </w:p>
        </w:tc>
        <w:tc>
          <w:tcPr>
            <w:tcW w:w="494" w:type="pct"/>
            <w:gridSpan w:val="3"/>
            <w:vAlign w:val="bottom"/>
          </w:tcPr>
          <w:p w14:paraId="56693AF0"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(683)</w:t>
            </w:r>
          </w:p>
        </w:tc>
        <w:tc>
          <w:tcPr>
            <w:tcW w:w="487" w:type="pct"/>
            <w:shd w:val="clear" w:color="auto" w:fill="auto"/>
            <w:vAlign w:val="bottom"/>
          </w:tcPr>
          <w:p w14:paraId="1E06FFE0"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(15,176)</w:t>
            </w:r>
          </w:p>
        </w:tc>
        <w:tc>
          <w:tcPr>
            <w:tcW w:w="420" w:type="pct"/>
            <w:shd w:val="clear" w:color="auto" w:fill="auto"/>
            <w:vAlign w:val="bottom"/>
          </w:tcPr>
          <w:p w14:paraId="0D93036E"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(1,608)</w:t>
            </w:r>
          </w:p>
        </w:tc>
        <w:tc>
          <w:tcPr>
            <w:tcW w:w="422" w:type="pct"/>
            <w:shd w:val="clear" w:color="auto" w:fill="auto"/>
            <w:vAlign w:val="bottom"/>
          </w:tcPr>
          <w:p w14:paraId="5BF73846"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(2,760)</w:t>
            </w:r>
          </w:p>
        </w:tc>
        <w:tc>
          <w:tcPr>
            <w:tcW w:w="353" w:type="pct"/>
            <w:shd w:val="clear" w:color="auto" w:fill="auto"/>
            <w:vAlign w:val="bottom"/>
          </w:tcPr>
          <w:p w14:paraId="3636C0CE"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(616)</w:t>
            </w:r>
          </w:p>
        </w:tc>
        <w:tc>
          <w:tcPr>
            <w:tcW w:w="422" w:type="pct"/>
            <w:shd w:val="clear" w:color="auto" w:fill="auto"/>
            <w:vAlign w:val="bottom"/>
          </w:tcPr>
          <w:p w14:paraId="6D8F5D79"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(2,618)</w:t>
            </w:r>
          </w:p>
        </w:tc>
      </w:tr>
      <w:tr w:rsidR="004707AA" w:rsidRPr="0047616E" w14:paraId="0B489E30" w14:textId="77777777" w:rsidTr="004707AA">
        <w:trPr>
          <w:trHeight w:val="402"/>
        </w:trPr>
        <w:tc>
          <w:tcPr>
            <w:tcW w:w="1484" w:type="pct"/>
            <w:shd w:val="clear" w:color="auto" w:fill="auto"/>
            <w:vAlign w:val="bottom"/>
          </w:tcPr>
          <w:p w14:paraId="53CCDF78" w14:textId="77777777" w:rsidR="004707AA" w:rsidRPr="0047616E" w:rsidRDefault="004707AA" w:rsidP="004707AA">
            <w:pPr>
              <w:pStyle w:val="BodyText"/>
              <w:spacing w:before="120"/>
              <w:ind w:left="-36"/>
              <w:jc w:val="left"/>
              <w:rPr>
                <w:rFonts w:ascii="Cambria" w:hAnsi="Cambria"/>
                <w:b/>
                <w:sz w:val="18"/>
                <w:szCs w:val="18"/>
              </w:rPr>
            </w:pPr>
            <w:r w:rsidRPr="0047616E">
              <w:rPr>
                <w:rFonts w:ascii="Cambria" w:hAnsi="Cambria"/>
                <w:b/>
                <w:sz w:val="18"/>
                <w:szCs w:val="18"/>
              </w:rPr>
              <w:t>Adjusted EBITDA¹</w:t>
            </w:r>
          </w:p>
        </w:tc>
        <w:tc>
          <w:tcPr>
            <w:tcW w:w="493" w:type="pct"/>
            <w:vAlign w:val="bottom"/>
          </w:tcPr>
          <w:p w14:paraId="75A5E53E"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w:t>
            </w:r>
            <w:r>
              <w:rPr>
                <w:rFonts w:ascii="Cambria" w:hAnsi="Cambria"/>
                <w:sz w:val="18"/>
                <w:szCs w:val="18"/>
              </w:rPr>
              <w:t>509</w:t>
            </w:r>
          </w:p>
        </w:tc>
        <w:tc>
          <w:tcPr>
            <w:tcW w:w="424" w:type="pct"/>
            <w:gridSpan w:val="2"/>
            <w:vAlign w:val="bottom"/>
          </w:tcPr>
          <w:p w14:paraId="785875E1"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1,26</w:t>
            </w:r>
            <w:r>
              <w:rPr>
                <w:rFonts w:ascii="Cambria" w:hAnsi="Cambria"/>
                <w:sz w:val="18"/>
                <w:szCs w:val="18"/>
              </w:rPr>
              <w:t>4</w:t>
            </w:r>
          </w:p>
        </w:tc>
        <w:tc>
          <w:tcPr>
            <w:tcW w:w="494" w:type="pct"/>
            <w:gridSpan w:val="3"/>
            <w:vAlign w:val="bottom"/>
          </w:tcPr>
          <w:p w14:paraId="74AF2A67"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2,758</w:t>
            </w:r>
          </w:p>
        </w:tc>
        <w:tc>
          <w:tcPr>
            <w:tcW w:w="487" w:type="pct"/>
            <w:shd w:val="clear" w:color="auto" w:fill="auto"/>
            <w:vAlign w:val="bottom"/>
          </w:tcPr>
          <w:p w14:paraId="7EFAA062"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1,402</w:t>
            </w:r>
          </w:p>
        </w:tc>
        <w:tc>
          <w:tcPr>
            <w:tcW w:w="420" w:type="pct"/>
            <w:shd w:val="clear" w:color="auto" w:fill="auto"/>
            <w:vAlign w:val="bottom"/>
          </w:tcPr>
          <w:p w14:paraId="6FE7D040"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1,112</w:t>
            </w:r>
          </w:p>
        </w:tc>
        <w:tc>
          <w:tcPr>
            <w:tcW w:w="422" w:type="pct"/>
            <w:shd w:val="clear" w:color="auto" w:fill="auto"/>
            <w:vAlign w:val="bottom"/>
          </w:tcPr>
          <w:p w14:paraId="2B2D22CF"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365</w:t>
            </w:r>
          </w:p>
        </w:tc>
        <w:tc>
          <w:tcPr>
            <w:tcW w:w="353" w:type="pct"/>
            <w:shd w:val="clear" w:color="auto" w:fill="auto"/>
            <w:vAlign w:val="bottom"/>
          </w:tcPr>
          <w:p w14:paraId="7D9D26E7"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1,772</w:t>
            </w:r>
          </w:p>
        </w:tc>
        <w:tc>
          <w:tcPr>
            <w:tcW w:w="422" w:type="pct"/>
            <w:shd w:val="clear" w:color="auto" w:fill="auto"/>
            <w:vAlign w:val="bottom"/>
          </w:tcPr>
          <w:p w14:paraId="10EA659B"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1,417</w:t>
            </w:r>
          </w:p>
        </w:tc>
      </w:tr>
      <w:tr w:rsidR="004707AA" w:rsidRPr="0047616E" w14:paraId="7A95D263" w14:textId="77777777" w:rsidTr="004707AA">
        <w:trPr>
          <w:trHeight w:val="446"/>
        </w:trPr>
        <w:tc>
          <w:tcPr>
            <w:tcW w:w="1484" w:type="pct"/>
            <w:shd w:val="clear" w:color="auto" w:fill="auto"/>
            <w:vAlign w:val="bottom"/>
          </w:tcPr>
          <w:p w14:paraId="7BE957B9" w14:textId="77777777" w:rsidR="004707AA" w:rsidRPr="0047616E" w:rsidRDefault="004707AA" w:rsidP="004707AA">
            <w:pPr>
              <w:pStyle w:val="BodyText"/>
              <w:spacing w:before="120"/>
              <w:ind w:left="-36"/>
              <w:jc w:val="left"/>
              <w:rPr>
                <w:rFonts w:ascii="Cambria" w:hAnsi="Cambria"/>
                <w:b/>
                <w:sz w:val="18"/>
                <w:szCs w:val="18"/>
              </w:rPr>
            </w:pPr>
            <w:r w:rsidRPr="0047616E">
              <w:rPr>
                <w:rFonts w:ascii="Cambria" w:hAnsi="Cambria"/>
                <w:b/>
                <w:sz w:val="18"/>
                <w:szCs w:val="18"/>
              </w:rPr>
              <w:t>Adjusted EBITDA per share</w:t>
            </w:r>
          </w:p>
        </w:tc>
        <w:tc>
          <w:tcPr>
            <w:tcW w:w="493" w:type="pct"/>
            <w:vAlign w:val="bottom"/>
          </w:tcPr>
          <w:p w14:paraId="41D74E91" w14:textId="77777777" w:rsidR="004707AA" w:rsidRPr="0047616E" w:rsidRDefault="004707AA" w:rsidP="004707AA">
            <w:pPr>
              <w:pStyle w:val="BodyText"/>
              <w:spacing w:before="120"/>
              <w:ind w:right="-18"/>
              <w:jc w:val="right"/>
              <w:rPr>
                <w:rFonts w:ascii="Cambria" w:hAnsi="Cambria"/>
                <w:sz w:val="18"/>
                <w:szCs w:val="18"/>
              </w:rPr>
            </w:pPr>
          </w:p>
        </w:tc>
        <w:tc>
          <w:tcPr>
            <w:tcW w:w="424" w:type="pct"/>
            <w:gridSpan w:val="2"/>
            <w:vAlign w:val="bottom"/>
          </w:tcPr>
          <w:p w14:paraId="7BEDDBFA" w14:textId="77777777" w:rsidR="004707AA" w:rsidRPr="0047616E" w:rsidRDefault="004707AA" w:rsidP="004707AA">
            <w:pPr>
              <w:pStyle w:val="BodyText"/>
              <w:spacing w:before="120"/>
              <w:ind w:right="-18"/>
              <w:jc w:val="right"/>
              <w:rPr>
                <w:rFonts w:ascii="Cambria" w:hAnsi="Cambria"/>
                <w:sz w:val="18"/>
                <w:szCs w:val="18"/>
              </w:rPr>
            </w:pPr>
          </w:p>
        </w:tc>
        <w:tc>
          <w:tcPr>
            <w:tcW w:w="494" w:type="pct"/>
            <w:gridSpan w:val="3"/>
            <w:vAlign w:val="bottom"/>
          </w:tcPr>
          <w:p w14:paraId="6F1CF4B6" w14:textId="77777777" w:rsidR="004707AA" w:rsidRPr="0047616E" w:rsidRDefault="004707AA" w:rsidP="004707AA">
            <w:pPr>
              <w:pStyle w:val="BodyText"/>
              <w:spacing w:before="120"/>
              <w:ind w:right="-18"/>
              <w:jc w:val="right"/>
              <w:rPr>
                <w:rFonts w:ascii="Cambria" w:hAnsi="Cambria"/>
                <w:sz w:val="18"/>
                <w:szCs w:val="18"/>
              </w:rPr>
            </w:pPr>
          </w:p>
        </w:tc>
        <w:tc>
          <w:tcPr>
            <w:tcW w:w="487" w:type="pct"/>
            <w:shd w:val="clear" w:color="auto" w:fill="auto"/>
            <w:vAlign w:val="bottom"/>
          </w:tcPr>
          <w:p w14:paraId="44E4E3BA" w14:textId="77777777" w:rsidR="004707AA" w:rsidRPr="0047616E" w:rsidRDefault="004707AA" w:rsidP="004707AA">
            <w:pPr>
              <w:pStyle w:val="BodyText"/>
              <w:spacing w:before="120"/>
              <w:ind w:right="-18"/>
              <w:jc w:val="right"/>
              <w:rPr>
                <w:rFonts w:ascii="Cambria" w:hAnsi="Cambria"/>
                <w:sz w:val="18"/>
                <w:szCs w:val="18"/>
              </w:rPr>
            </w:pPr>
          </w:p>
        </w:tc>
        <w:tc>
          <w:tcPr>
            <w:tcW w:w="420" w:type="pct"/>
            <w:shd w:val="clear" w:color="auto" w:fill="auto"/>
            <w:vAlign w:val="bottom"/>
          </w:tcPr>
          <w:p w14:paraId="1C0128EB" w14:textId="77777777" w:rsidR="004707AA" w:rsidRPr="0047616E" w:rsidRDefault="004707AA" w:rsidP="004707AA">
            <w:pPr>
              <w:pStyle w:val="BodyText"/>
              <w:spacing w:before="120"/>
              <w:ind w:right="-18"/>
              <w:jc w:val="right"/>
              <w:rPr>
                <w:rFonts w:ascii="Cambria" w:hAnsi="Cambria"/>
                <w:sz w:val="18"/>
                <w:szCs w:val="18"/>
              </w:rPr>
            </w:pPr>
          </w:p>
        </w:tc>
        <w:tc>
          <w:tcPr>
            <w:tcW w:w="422" w:type="pct"/>
            <w:shd w:val="clear" w:color="auto" w:fill="auto"/>
            <w:vAlign w:val="bottom"/>
          </w:tcPr>
          <w:p w14:paraId="738B8ABF" w14:textId="77777777" w:rsidR="004707AA" w:rsidRPr="0047616E" w:rsidRDefault="004707AA" w:rsidP="004707AA">
            <w:pPr>
              <w:pStyle w:val="BodyText"/>
              <w:spacing w:before="120"/>
              <w:ind w:right="-18"/>
              <w:jc w:val="right"/>
              <w:rPr>
                <w:rFonts w:ascii="Cambria" w:hAnsi="Cambria"/>
                <w:sz w:val="18"/>
                <w:szCs w:val="18"/>
              </w:rPr>
            </w:pPr>
          </w:p>
        </w:tc>
        <w:tc>
          <w:tcPr>
            <w:tcW w:w="353" w:type="pct"/>
            <w:shd w:val="clear" w:color="auto" w:fill="auto"/>
            <w:vAlign w:val="bottom"/>
          </w:tcPr>
          <w:p w14:paraId="4B56B740" w14:textId="77777777" w:rsidR="004707AA" w:rsidRPr="0047616E" w:rsidRDefault="004707AA" w:rsidP="004707AA">
            <w:pPr>
              <w:pStyle w:val="BodyText"/>
              <w:spacing w:before="120"/>
              <w:ind w:right="-18"/>
              <w:jc w:val="right"/>
              <w:rPr>
                <w:rFonts w:ascii="Cambria" w:hAnsi="Cambria"/>
                <w:sz w:val="18"/>
                <w:szCs w:val="18"/>
              </w:rPr>
            </w:pPr>
          </w:p>
        </w:tc>
        <w:tc>
          <w:tcPr>
            <w:tcW w:w="422" w:type="pct"/>
            <w:shd w:val="clear" w:color="auto" w:fill="auto"/>
            <w:vAlign w:val="bottom"/>
          </w:tcPr>
          <w:p w14:paraId="58C0E173" w14:textId="77777777" w:rsidR="004707AA" w:rsidRPr="0047616E" w:rsidRDefault="004707AA" w:rsidP="004707AA">
            <w:pPr>
              <w:pStyle w:val="BodyText"/>
              <w:spacing w:before="120"/>
              <w:ind w:right="-18"/>
              <w:jc w:val="right"/>
              <w:rPr>
                <w:rFonts w:ascii="Cambria" w:hAnsi="Cambria"/>
                <w:sz w:val="18"/>
                <w:szCs w:val="18"/>
              </w:rPr>
            </w:pPr>
          </w:p>
        </w:tc>
      </w:tr>
      <w:tr w:rsidR="004707AA" w:rsidRPr="0047616E" w14:paraId="7D95826B" w14:textId="77777777" w:rsidTr="004707AA">
        <w:trPr>
          <w:trHeight w:val="135"/>
        </w:trPr>
        <w:tc>
          <w:tcPr>
            <w:tcW w:w="1484" w:type="pct"/>
            <w:shd w:val="clear" w:color="auto" w:fill="auto"/>
            <w:vAlign w:val="bottom"/>
          </w:tcPr>
          <w:p w14:paraId="60B52975" w14:textId="77777777" w:rsidR="004707AA" w:rsidRPr="0047616E" w:rsidRDefault="004707AA" w:rsidP="004707AA">
            <w:pPr>
              <w:pStyle w:val="BodyText"/>
              <w:ind w:left="-36"/>
              <w:jc w:val="left"/>
              <w:rPr>
                <w:rFonts w:ascii="Cambria" w:hAnsi="Cambria"/>
                <w:b/>
                <w:sz w:val="18"/>
                <w:szCs w:val="18"/>
              </w:rPr>
            </w:pPr>
            <w:r w:rsidRPr="0047616E">
              <w:rPr>
                <w:rFonts w:ascii="Cambria" w:hAnsi="Cambria"/>
                <w:b/>
                <w:sz w:val="18"/>
                <w:szCs w:val="18"/>
              </w:rPr>
              <w:t xml:space="preserve">   - basic¹</w:t>
            </w:r>
          </w:p>
        </w:tc>
        <w:tc>
          <w:tcPr>
            <w:tcW w:w="493" w:type="pct"/>
            <w:vAlign w:val="bottom"/>
          </w:tcPr>
          <w:p w14:paraId="21045355"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w:t>
            </w:r>
            <w:r>
              <w:rPr>
                <w:rFonts w:ascii="Cambria" w:hAnsi="Cambria"/>
                <w:sz w:val="18"/>
                <w:szCs w:val="18"/>
              </w:rPr>
              <w:t>3</w:t>
            </w:r>
          </w:p>
        </w:tc>
        <w:tc>
          <w:tcPr>
            <w:tcW w:w="424" w:type="pct"/>
            <w:gridSpan w:val="2"/>
            <w:vAlign w:val="bottom"/>
          </w:tcPr>
          <w:p w14:paraId="3DFDB7F3"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0.02</w:t>
            </w:r>
          </w:p>
        </w:tc>
        <w:tc>
          <w:tcPr>
            <w:tcW w:w="494" w:type="pct"/>
            <w:gridSpan w:val="3"/>
            <w:vAlign w:val="bottom"/>
          </w:tcPr>
          <w:p w14:paraId="4986B779"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0.05</w:t>
            </w:r>
          </w:p>
        </w:tc>
        <w:tc>
          <w:tcPr>
            <w:tcW w:w="487" w:type="pct"/>
            <w:shd w:val="clear" w:color="auto" w:fill="auto"/>
            <w:vAlign w:val="bottom"/>
          </w:tcPr>
          <w:p w14:paraId="503980C3"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20" w:type="pct"/>
            <w:shd w:val="clear" w:color="auto" w:fill="auto"/>
            <w:vAlign w:val="bottom"/>
          </w:tcPr>
          <w:p w14:paraId="490D9095"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0.02</w:t>
            </w:r>
          </w:p>
        </w:tc>
        <w:tc>
          <w:tcPr>
            <w:tcW w:w="422" w:type="pct"/>
            <w:shd w:val="clear" w:color="auto" w:fill="auto"/>
            <w:vAlign w:val="bottom"/>
          </w:tcPr>
          <w:p w14:paraId="28707281"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0.01</w:t>
            </w:r>
          </w:p>
        </w:tc>
        <w:tc>
          <w:tcPr>
            <w:tcW w:w="353" w:type="pct"/>
            <w:shd w:val="clear" w:color="auto" w:fill="auto"/>
            <w:vAlign w:val="bottom"/>
          </w:tcPr>
          <w:p w14:paraId="7CE5988D"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22" w:type="pct"/>
            <w:shd w:val="clear" w:color="auto" w:fill="auto"/>
            <w:vAlign w:val="bottom"/>
          </w:tcPr>
          <w:p w14:paraId="0F1A4353"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r>
      <w:tr w:rsidR="004707AA" w:rsidRPr="0047616E" w14:paraId="7FE054C9" w14:textId="77777777" w:rsidTr="004707AA">
        <w:trPr>
          <w:trHeight w:val="335"/>
        </w:trPr>
        <w:tc>
          <w:tcPr>
            <w:tcW w:w="1484" w:type="pct"/>
            <w:shd w:val="clear" w:color="auto" w:fill="auto"/>
            <w:vAlign w:val="bottom"/>
          </w:tcPr>
          <w:p w14:paraId="6BB936B5" w14:textId="77777777" w:rsidR="004707AA" w:rsidRPr="0047616E" w:rsidRDefault="004707AA" w:rsidP="004707AA">
            <w:pPr>
              <w:pStyle w:val="BodyText"/>
              <w:spacing w:before="120"/>
              <w:ind w:left="-36"/>
              <w:jc w:val="left"/>
              <w:rPr>
                <w:rFonts w:ascii="Cambria" w:hAnsi="Cambria"/>
                <w:b/>
                <w:sz w:val="18"/>
                <w:szCs w:val="18"/>
              </w:rPr>
            </w:pPr>
            <w:r w:rsidRPr="0047616E">
              <w:rPr>
                <w:rFonts w:ascii="Cambria" w:hAnsi="Cambria"/>
                <w:b/>
                <w:sz w:val="18"/>
                <w:szCs w:val="18"/>
              </w:rPr>
              <w:t>Net loss per share from continuing operations</w:t>
            </w:r>
          </w:p>
        </w:tc>
        <w:tc>
          <w:tcPr>
            <w:tcW w:w="493" w:type="pct"/>
            <w:vAlign w:val="bottom"/>
          </w:tcPr>
          <w:p w14:paraId="3B74B710" w14:textId="77777777" w:rsidR="004707AA" w:rsidRPr="0047616E" w:rsidRDefault="004707AA" w:rsidP="004707AA">
            <w:pPr>
              <w:pStyle w:val="BodyText"/>
              <w:spacing w:before="120"/>
              <w:jc w:val="right"/>
              <w:rPr>
                <w:rFonts w:ascii="Cambria" w:hAnsi="Cambria"/>
                <w:sz w:val="18"/>
                <w:szCs w:val="18"/>
              </w:rPr>
            </w:pPr>
          </w:p>
        </w:tc>
        <w:tc>
          <w:tcPr>
            <w:tcW w:w="424" w:type="pct"/>
            <w:gridSpan w:val="2"/>
            <w:vAlign w:val="bottom"/>
          </w:tcPr>
          <w:p w14:paraId="079FBDA7" w14:textId="77777777" w:rsidR="004707AA" w:rsidRPr="0047616E" w:rsidRDefault="004707AA" w:rsidP="004707AA">
            <w:pPr>
              <w:pStyle w:val="BodyText"/>
              <w:spacing w:before="120"/>
              <w:jc w:val="right"/>
              <w:rPr>
                <w:rFonts w:ascii="Cambria" w:hAnsi="Cambria"/>
                <w:sz w:val="18"/>
                <w:szCs w:val="18"/>
              </w:rPr>
            </w:pPr>
          </w:p>
        </w:tc>
        <w:tc>
          <w:tcPr>
            <w:tcW w:w="494" w:type="pct"/>
            <w:gridSpan w:val="3"/>
            <w:vAlign w:val="bottom"/>
          </w:tcPr>
          <w:p w14:paraId="163B652B" w14:textId="77777777" w:rsidR="004707AA" w:rsidRPr="0047616E" w:rsidRDefault="004707AA" w:rsidP="004707AA">
            <w:pPr>
              <w:pStyle w:val="BodyText"/>
              <w:spacing w:before="120"/>
              <w:jc w:val="right"/>
              <w:rPr>
                <w:rFonts w:ascii="Cambria" w:hAnsi="Cambria"/>
                <w:sz w:val="18"/>
                <w:szCs w:val="18"/>
              </w:rPr>
            </w:pPr>
          </w:p>
        </w:tc>
        <w:tc>
          <w:tcPr>
            <w:tcW w:w="487" w:type="pct"/>
            <w:shd w:val="clear" w:color="auto" w:fill="auto"/>
            <w:vAlign w:val="bottom"/>
          </w:tcPr>
          <w:p w14:paraId="7FA4F09E" w14:textId="77777777" w:rsidR="004707AA" w:rsidRPr="0047616E" w:rsidRDefault="004707AA" w:rsidP="004707AA">
            <w:pPr>
              <w:pStyle w:val="BodyText"/>
              <w:spacing w:before="120"/>
              <w:jc w:val="right"/>
              <w:rPr>
                <w:rFonts w:ascii="Cambria" w:hAnsi="Cambria"/>
                <w:sz w:val="18"/>
                <w:szCs w:val="18"/>
              </w:rPr>
            </w:pPr>
          </w:p>
        </w:tc>
        <w:tc>
          <w:tcPr>
            <w:tcW w:w="420" w:type="pct"/>
            <w:shd w:val="clear" w:color="auto" w:fill="auto"/>
            <w:vAlign w:val="bottom"/>
          </w:tcPr>
          <w:p w14:paraId="75AFE0F8" w14:textId="77777777" w:rsidR="004707AA" w:rsidRPr="0047616E" w:rsidRDefault="004707AA" w:rsidP="004707AA">
            <w:pPr>
              <w:pStyle w:val="BodyText"/>
              <w:spacing w:before="120"/>
              <w:jc w:val="right"/>
              <w:rPr>
                <w:rFonts w:ascii="Cambria" w:hAnsi="Cambria"/>
                <w:sz w:val="18"/>
                <w:szCs w:val="18"/>
              </w:rPr>
            </w:pPr>
          </w:p>
        </w:tc>
        <w:tc>
          <w:tcPr>
            <w:tcW w:w="422" w:type="pct"/>
            <w:shd w:val="clear" w:color="auto" w:fill="auto"/>
            <w:vAlign w:val="bottom"/>
          </w:tcPr>
          <w:p w14:paraId="775688CB" w14:textId="77777777" w:rsidR="004707AA" w:rsidRPr="0047616E" w:rsidRDefault="004707AA" w:rsidP="004707AA">
            <w:pPr>
              <w:pStyle w:val="BodyText"/>
              <w:spacing w:before="120"/>
              <w:jc w:val="right"/>
              <w:rPr>
                <w:rFonts w:ascii="Cambria" w:hAnsi="Cambria"/>
                <w:sz w:val="18"/>
                <w:szCs w:val="18"/>
              </w:rPr>
            </w:pPr>
          </w:p>
        </w:tc>
        <w:tc>
          <w:tcPr>
            <w:tcW w:w="353" w:type="pct"/>
            <w:shd w:val="clear" w:color="auto" w:fill="auto"/>
            <w:vAlign w:val="bottom"/>
          </w:tcPr>
          <w:p w14:paraId="4DCAD9F1" w14:textId="77777777" w:rsidR="004707AA" w:rsidRPr="0047616E" w:rsidRDefault="004707AA" w:rsidP="004707AA">
            <w:pPr>
              <w:pStyle w:val="BodyText"/>
              <w:spacing w:before="120"/>
              <w:jc w:val="right"/>
              <w:rPr>
                <w:rFonts w:ascii="Cambria" w:hAnsi="Cambria"/>
                <w:sz w:val="18"/>
                <w:szCs w:val="18"/>
              </w:rPr>
            </w:pPr>
          </w:p>
        </w:tc>
        <w:tc>
          <w:tcPr>
            <w:tcW w:w="422" w:type="pct"/>
            <w:shd w:val="clear" w:color="auto" w:fill="auto"/>
            <w:vAlign w:val="bottom"/>
          </w:tcPr>
          <w:p w14:paraId="7A17D8AD" w14:textId="77777777" w:rsidR="004707AA" w:rsidRPr="0047616E" w:rsidRDefault="004707AA" w:rsidP="004707AA">
            <w:pPr>
              <w:pStyle w:val="BodyText"/>
              <w:spacing w:before="120"/>
              <w:jc w:val="right"/>
              <w:rPr>
                <w:rFonts w:ascii="Cambria" w:hAnsi="Cambria"/>
                <w:sz w:val="18"/>
                <w:szCs w:val="18"/>
              </w:rPr>
            </w:pPr>
          </w:p>
        </w:tc>
      </w:tr>
      <w:tr w:rsidR="004707AA" w:rsidRPr="0047616E" w14:paraId="3FDE2096" w14:textId="77777777" w:rsidTr="004707AA">
        <w:trPr>
          <w:trHeight w:val="256"/>
        </w:trPr>
        <w:tc>
          <w:tcPr>
            <w:tcW w:w="1484" w:type="pct"/>
            <w:shd w:val="clear" w:color="auto" w:fill="auto"/>
            <w:vAlign w:val="bottom"/>
          </w:tcPr>
          <w:p w14:paraId="5C21B19B" w14:textId="77777777" w:rsidR="004707AA" w:rsidRPr="0047616E" w:rsidRDefault="004707AA" w:rsidP="004707AA">
            <w:pPr>
              <w:pStyle w:val="BodyText"/>
              <w:ind w:left="-36"/>
              <w:jc w:val="left"/>
              <w:rPr>
                <w:rFonts w:ascii="Cambria" w:hAnsi="Cambria"/>
                <w:b/>
                <w:sz w:val="18"/>
                <w:szCs w:val="18"/>
              </w:rPr>
            </w:pPr>
            <w:r w:rsidRPr="0047616E">
              <w:rPr>
                <w:rFonts w:ascii="Cambria" w:hAnsi="Cambria"/>
                <w:b/>
                <w:sz w:val="18"/>
                <w:szCs w:val="18"/>
              </w:rPr>
              <w:t xml:space="preserve">    Basic</w:t>
            </w:r>
          </w:p>
        </w:tc>
        <w:tc>
          <w:tcPr>
            <w:tcW w:w="493" w:type="pct"/>
            <w:vAlign w:val="bottom"/>
          </w:tcPr>
          <w:p w14:paraId="13A77AA0"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24" w:type="pct"/>
            <w:gridSpan w:val="2"/>
            <w:vAlign w:val="bottom"/>
          </w:tcPr>
          <w:p w14:paraId="1B181482"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94" w:type="pct"/>
            <w:gridSpan w:val="3"/>
            <w:vAlign w:val="bottom"/>
          </w:tcPr>
          <w:p w14:paraId="05D7848A"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(0.01)</w:t>
            </w:r>
          </w:p>
        </w:tc>
        <w:tc>
          <w:tcPr>
            <w:tcW w:w="487" w:type="pct"/>
            <w:shd w:val="clear" w:color="auto" w:fill="auto"/>
            <w:vAlign w:val="bottom"/>
          </w:tcPr>
          <w:p w14:paraId="38045649"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(0.29)</w:t>
            </w:r>
          </w:p>
        </w:tc>
        <w:tc>
          <w:tcPr>
            <w:tcW w:w="420" w:type="pct"/>
            <w:shd w:val="clear" w:color="auto" w:fill="auto"/>
            <w:vAlign w:val="bottom"/>
          </w:tcPr>
          <w:p w14:paraId="196EF22F"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22" w:type="pct"/>
            <w:shd w:val="clear" w:color="auto" w:fill="auto"/>
            <w:vAlign w:val="bottom"/>
          </w:tcPr>
          <w:p w14:paraId="504DA960"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(0.05)</w:t>
            </w:r>
          </w:p>
        </w:tc>
        <w:tc>
          <w:tcPr>
            <w:tcW w:w="353" w:type="pct"/>
            <w:shd w:val="clear" w:color="auto" w:fill="auto"/>
            <w:vAlign w:val="bottom"/>
          </w:tcPr>
          <w:p w14:paraId="4E679979"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(0.01)</w:t>
            </w:r>
          </w:p>
        </w:tc>
        <w:tc>
          <w:tcPr>
            <w:tcW w:w="422" w:type="pct"/>
            <w:shd w:val="clear" w:color="auto" w:fill="auto"/>
            <w:vAlign w:val="bottom"/>
          </w:tcPr>
          <w:p w14:paraId="77778960"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(0.05)</w:t>
            </w:r>
          </w:p>
        </w:tc>
      </w:tr>
      <w:tr w:rsidR="004707AA" w:rsidRPr="0047616E" w14:paraId="611A9645" w14:textId="77777777" w:rsidTr="004707AA">
        <w:trPr>
          <w:trHeight w:val="241"/>
        </w:trPr>
        <w:tc>
          <w:tcPr>
            <w:tcW w:w="1484" w:type="pct"/>
            <w:shd w:val="clear" w:color="auto" w:fill="auto"/>
          </w:tcPr>
          <w:p w14:paraId="4794E5F2" w14:textId="77777777" w:rsidR="004707AA" w:rsidRPr="0047616E" w:rsidRDefault="004707AA" w:rsidP="004707AA">
            <w:pPr>
              <w:pStyle w:val="BodyText"/>
              <w:ind w:left="-36"/>
              <w:jc w:val="left"/>
              <w:rPr>
                <w:rFonts w:ascii="Cambria" w:hAnsi="Cambria"/>
                <w:b/>
                <w:sz w:val="18"/>
                <w:szCs w:val="18"/>
              </w:rPr>
            </w:pPr>
            <w:r w:rsidRPr="0047616E">
              <w:rPr>
                <w:rFonts w:ascii="Cambria" w:hAnsi="Cambria"/>
                <w:b/>
                <w:sz w:val="18"/>
                <w:szCs w:val="18"/>
              </w:rPr>
              <w:t xml:space="preserve">    Diluted</w:t>
            </w:r>
          </w:p>
        </w:tc>
        <w:tc>
          <w:tcPr>
            <w:tcW w:w="493" w:type="pct"/>
            <w:vAlign w:val="bottom"/>
          </w:tcPr>
          <w:p w14:paraId="36464B62"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24" w:type="pct"/>
            <w:gridSpan w:val="2"/>
            <w:vAlign w:val="bottom"/>
          </w:tcPr>
          <w:p w14:paraId="41C6B99B"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94" w:type="pct"/>
            <w:gridSpan w:val="3"/>
            <w:vAlign w:val="bottom"/>
          </w:tcPr>
          <w:p w14:paraId="7FCB4253"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(0.01)</w:t>
            </w:r>
          </w:p>
        </w:tc>
        <w:tc>
          <w:tcPr>
            <w:tcW w:w="487" w:type="pct"/>
            <w:shd w:val="clear" w:color="auto" w:fill="auto"/>
            <w:vAlign w:val="bottom"/>
          </w:tcPr>
          <w:p w14:paraId="33BC743F"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(0.29)</w:t>
            </w:r>
          </w:p>
        </w:tc>
        <w:tc>
          <w:tcPr>
            <w:tcW w:w="420" w:type="pct"/>
            <w:shd w:val="clear" w:color="auto" w:fill="auto"/>
            <w:vAlign w:val="bottom"/>
          </w:tcPr>
          <w:p w14:paraId="5FC465BC"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(0.03)</w:t>
            </w:r>
          </w:p>
        </w:tc>
        <w:tc>
          <w:tcPr>
            <w:tcW w:w="422" w:type="pct"/>
            <w:shd w:val="clear" w:color="auto" w:fill="auto"/>
            <w:vAlign w:val="bottom"/>
          </w:tcPr>
          <w:p w14:paraId="0C7FB6C4"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(0.05)</w:t>
            </w:r>
          </w:p>
        </w:tc>
        <w:tc>
          <w:tcPr>
            <w:tcW w:w="353" w:type="pct"/>
            <w:shd w:val="clear" w:color="auto" w:fill="auto"/>
            <w:vAlign w:val="bottom"/>
          </w:tcPr>
          <w:p w14:paraId="1A932C09"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(0.01)</w:t>
            </w:r>
          </w:p>
        </w:tc>
        <w:tc>
          <w:tcPr>
            <w:tcW w:w="422" w:type="pct"/>
            <w:shd w:val="clear" w:color="auto" w:fill="auto"/>
            <w:vAlign w:val="bottom"/>
          </w:tcPr>
          <w:p w14:paraId="1B0D1CE7" w14:textId="77777777" w:rsidR="004707AA" w:rsidRPr="0047616E" w:rsidRDefault="004707AA" w:rsidP="004707AA">
            <w:pPr>
              <w:pStyle w:val="BodyText"/>
              <w:ind w:right="-18"/>
              <w:jc w:val="right"/>
              <w:rPr>
                <w:rFonts w:ascii="Cambria" w:hAnsi="Cambria"/>
                <w:sz w:val="18"/>
                <w:szCs w:val="18"/>
              </w:rPr>
            </w:pPr>
            <w:r w:rsidRPr="0047616E">
              <w:rPr>
                <w:rFonts w:ascii="Cambria" w:hAnsi="Cambria"/>
                <w:sz w:val="18"/>
                <w:szCs w:val="18"/>
              </w:rPr>
              <w:t>(0.05)</w:t>
            </w:r>
          </w:p>
        </w:tc>
      </w:tr>
      <w:tr w:rsidR="004707AA" w:rsidRPr="0047616E" w14:paraId="51EB6F22" w14:textId="77777777" w:rsidTr="004707AA">
        <w:trPr>
          <w:trHeight w:val="402"/>
        </w:trPr>
        <w:tc>
          <w:tcPr>
            <w:tcW w:w="1484" w:type="pct"/>
            <w:shd w:val="clear" w:color="auto" w:fill="auto"/>
            <w:vAlign w:val="bottom"/>
          </w:tcPr>
          <w:p w14:paraId="5403B26D" w14:textId="77777777" w:rsidR="004707AA" w:rsidRPr="0047616E" w:rsidRDefault="004707AA" w:rsidP="004707AA">
            <w:pPr>
              <w:pStyle w:val="BodyText"/>
              <w:spacing w:before="120"/>
              <w:ind w:left="-36"/>
              <w:jc w:val="left"/>
              <w:rPr>
                <w:rFonts w:ascii="Cambria" w:hAnsi="Cambria"/>
                <w:b/>
                <w:sz w:val="18"/>
                <w:szCs w:val="18"/>
              </w:rPr>
            </w:pPr>
            <w:r w:rsidRPr="0047616E">
              <w:rPr>
                <w:rFonts w:ascii="Cambria" w:hAnsi="Cambria"/>
                <w:b/>
                <w:sz w:val="18"/>
                <w:szCs w:val="18"/>
              </w:rPr>
              <w:t>Adjusted free cash flow¹</w:t>
            </w:r>
          </w:p>
        </w:tc>
        <w:tc>
          <w:tcPr>
            <w:tcW w:w="493" w:type="pct"/>
            <w:vAlign w:val="bottom"/>
          </w:tcPr>
          <w:p w14:paraId="2CE0E5E0" w14:textId="77777777" w:rsidR="004707AA" w:rsidRPr="0047616E" w:rsidRDefault="004707AA" w:rsidP="004707AA">
            <w:pPr>
              <w:pStyle w:val="BodyText"/>
              <w:spacing w:before="120"/>
              <w:ind w:right="-18"/>
              <w:jc w:val="right"/>
              <w:rPr>
                <w:rFonts w:ascii="Cambria" w:hAnsi="Cambria"/>
                <w:sz w:val="18"/>
                <w:szCs w:val="18"/>
              </w:rPr>
            </w:pPr>
            <w:r>
              <w:rPr>
                <w:rFonts w:ascii="Cambria" w:hAnsi="Cambria"/>
                <w:sz w:val="18"/>
                <w:szCs w:val="18"/>
              </w:rPr>
              <w:t>(264)</w:t>
            </w:r>
          </w:p>
        </w:tc>
        <w:tc>
          <w:tcPr>
            <w:tcW w:w="424" w:type="pct"/>
            <w:gridSpan w:val="2"/>
            <w:vAlign w:val="bottom"/>
          </w:tcPr>
          <w:p w14:paraId="4ADF99E4"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2,</w:t>
            </w:r>
            <w:r>
              <w:rPr>
                <w:rFonts w:ascii="Cambria" w:hAnsi="Cambria"/>
                <w:sz w:val="18"/>
                <w:szCs w:val="18"/>
              </w:rPr>
              <w:t>450</w:t>
            </w:r>
          </w:p>
        </w:tc>
        <w:tc>
          <w:tcPr>
            <w:tcW w:w="494" w:type="pct"/>
            <w:gridSpan w:val="3"/>
            <w:vAlign w:val="bottom"/>
          </w:tcPr>
          <w:p w14:paraId="7F1F9FA8"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6</w:t>
            </w:r>
            <w:r>
              <w:rPr>
                <w:rFonts w:ascii="Cambria" w:hAnsi="Cambria"/>
                <w:sz w:val="18"/>
                <w:szCs w:val="18"/>
              </w:rPr>
              <w:t>95</w:t>
            </w:r>
          </w:p>
        </w:tc>
        <w:tc>
          <w:tcPr>
            <w:tcW w:w="487" w:type="pct"/>
            <w:shd w:val="clear" w:color="auto" w:fill="auto"/>
            <w:vAlign w:val="bottom"/>
          </w:tcPr>
          <w:p w14:paraId="7B3CFC72"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(280)</w:t>
            </w:r>
          </w:p>
        </w:tc>
        <w:tc>
          <w:tcPr>
            <w:tcW w:w="420" w:type="pct"/>
            <w:shd w:val="clear" w:color="auto" w:fill="auto"/>
            <w:vAlign w:val="bottom"/>
          </w:tcPr>
          <w:p w14:paraId="6DAD8A89"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120</w:t>
            </w:r>
          </w:p>
        </w:tc>
        <w:tc>
          <w:tcPr>
            <w:tcW w:w="422" w:type="pct"/>
            <w:shd w:val="clear" w:color="auto" w:fill="auto"/>
            <w:vAlign w:val="bottom"/>
          </w:tcPr>
          <w:p w14:paraId="35A8A3FB"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1,099</w:t>
            </w:r>
          </w:p>
        </w:tc>
        <w:tc>
          <w:tcPr>
            <w:tcW w:w="353" w:type="pct"/>
            <w:shd w:val="clear" w:color="auto" w:fill="auto"/>
            <w:vAlign w:val="bottom"/>
          </w:tcPr>
          <w:p w14:paraId="21A7918D"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w:t>
            </w:r>
            <w:r>
              <w:rPr>
                <w:rFonts w:ascii="Cambria" w:hAnsi="Cambria"/>
                <w:sz w:val="18"/>
                <w:szCs w:val="18"/>
              </w:rPr>
              <w:t>27</w:t>
            </w:r>
            <w:r w:rsidRPr="0047616E">
              <w:rPr>
                <w:rFonts w:ascii="Cambria" w:hAnsi="Cambria"/>
                <w:sz w:val="18"/>
                <w:szCs w:val="18"/>
              </w:rPr>
              <w:t>)</w:t>
            </w:r>
          </w:p>
        </w:tc>
        <w:tc>
          <w:tcPr>
            <w:tcW w:w="422" w:type="pct"/>
            <w:shd w:val="clear" w:color="auto" w:fill="auto"/>
            <w:vAlign w:val="bottom"/>
          </w:tcPr>
          <w:p w14:paraId="34879EFF" w14:textId="77777777" w:rsidR="004707AA" w:rsidRPr="0047616E" w:rsidRDefault="004707AA" w:rsidP="004707AA">
            <w:pPr>
              <w:pStyle w:val="BodyText"/>
              <w:spacing w:before="120"/>
              <w:ind w:right="-18"/>
              <w:jc w:val="right"/>
              <w:rPr>
                <w:rFonts w:ascii="Cambria" w:hAnsi="Cambria"/>
                <w:sz w:val="18"/>
                <w:szCs w:val="18"/>
              </w:rPr>
            </w:pPr>
            <w:r w:rsidRPr="0047616E">
              <w:rPr>
                <w:rFonts w:ascii="Cambria" w:hAnsi="Cambria"/>
                <w:sz w:val="18"/>
                <w:szCs w:val="18"/>
              </w:rPr>
              <w:t>351</w:t>
            </w:r>
          </w:p>
        </w:tc>
      </w:tr>
      <w:tr w:rsidR="00B925FF" w:rsidRPr="0047616E" w14:paraId="4CDAE12E" w14:textId="77777777" w:rsidTr="004707AA">
        <w:trPr>
          <w:trHeight w:val="36"/>
        </w:trPr>
        <w:tc>
          <w:tcPr>
            <w:tcW w:w="1484" w:type="pct"/>
            <w:tcBorders>
              <w:bottom w:val="single" w:sz="12" w:space="0" w:color="auto"/>
            </w:tcBorders>
            <w:vAlign w:val="bottom"/>
          </w:tcPr>
          <w:p w14:paraId="501344AA" w14:textId="77777777" w:rsidR="00B925FF" w:rsidRPr="0047616E" w:rsidRDefault="00B925FF" w:rsidP="00646851">
            <w:pPr>
              <w:pStyle w:val="BodyText"/>
              <w:jc w:val="left"/>
              <w:rPr>
                <w:rFonts w:ascii="Cambria" w:hAnsi="Cambria"/>
                <w:b/>
                <w:sz w:val="18"/>
                <w:szCs w:val="18"/>
              </w:rPr>
            </w:pPr>
          </w:p>
        </w:tc>
        <w:tc>
          <w:tcPr>
            <w:tcW w:w="849" w:type="pct"/>
            <w:gridSpan w:val="2"/>
            <w:tcBorders>
              <w:bottom w:val="single" w:sz="12" w:space="0" w:color="auto"/>
            </w:tcBorders>
          </w:tcPr>
          <w:p w14:paraId="0E3E1B62" w14:textId="77777777" w:rsidR="00B925FF" w:rsidRPr="0047616E" w:rsidRDefault="00B925FF" w:rsidP="00646851">
            <w:pPr>
              <w:pStyle w:val="BodyText"/>
              <w:ind w:right="-18"/>
              <w:jc w:val="right"/>
              <w:rPr>
                <w:rFonts w:ascii="Cambria" w:hAnsi="Cambria"/>
                <w:sz w:val="18"/>
                <w:szCs w:val="18"/>
              </w:rPr>
            </w:pPr>
          </w:p>
        </w:tc>
        <w:tc>
          <w:tcPr>
            <w:tcW w:w="138" w:type="pct"/>
            <w:gridSpan w:val="2"/>
            <w:tcBorders>
              <w:bottom w:val="single" w:sz="12" w:space="0" w:color="auto"/>
            </w:tcBorders>
          </w:tcPr>
          <w:p w14:paraId="7FAD281C" w14:textId="77777777" w:rsidR="00B925FF" w:rsidRPr="0047616E" w:rsidRDefault="00B925FF" w:rsidP="00646851">
            <w:pPr>
              <w:pStyle w:val="BodyText"/>
              <w:ind w:right="-18"/>
              <w:jc w:val="right"/>
              <w:rPr>
                <w:rFonts w:ascii="Cambria" w:hAnsi="Cambria"/>
                <w:sz w:val="18"/>
                <w:szCs w:val="18"/>
              </w:rPr>
            </w:pPr>
          </w:p>
        </w:tc>
        <w:tc>
          <w:tcPr>
            <w:tcW w:w="117" w:type="pct"/>
            <w:tcBorders>
              <w:bottom w:val="single" w:sz="12" w:space="0" w:color="auto"/>
            </w:tcBorders>
          </w:tcPr>
          <w:p w14:paraId="30E8AC24" w14:textId="77777777" w:rsidR="00B925FF" w:rsidRPr="0047616E" w:rsidRDefault="00B925FF" w:rsidP="00646851">
            <w:pPr>
              <w:pStyle w:val="BodyText"/>
              <w:ind w:right="-18"/>
              <w:jc w:val="right"/>
              <w:rPr>
                <w:rFonts w:ascii="Cambria" w:hAnsi="Cambria"/>
                <w:sz w:val="18"/>
                <w:szCs w:val="18"/>
              </w:rPr>
            </w:pPr>
          </w:p>
        </w:tc>
        <w:tc>
          <w:tcPr>
            <w:tcW w:w="795" w:type="pct"/>
            <w:gridSpan w:val="2"/>
            <w:tcBorders>
              <w:bottom w:val="single" w:sz="12" w:space="0" w:color="auto"/>
            </w:tcBorders>
            <w:vAlign w:val="bottom"/>
          </w:tcPr>
          <w:p w14:paraId="69209F31" w14:textId="77777777" w:rsidR="00B925FF" w:rsidRPr="0047616E" w:rsidRDefault="00B925FF" w:rsidP="00646851">
            <w:pPr>
              <w:pStyle w:val="BodyText"/>
              <w:ind w:right="-18"/>
              <w:jc w:val="right"/>
              <w:rPr>
                <w:rFonts w:ascii="Cambria" w:hAnsi="Cambria"/>
                <w:sz w:val="18"/>
                <w:szCs w:val="18"/>
              </w:rPr>
            </w:pPr>
          </w:p>
        </w:tc>
        <w:tc>
          <w:tcPr>
            <w:tcW w:w="420" w:type="pct"/>
            <w:tcBorders>
              <w:bottom w:val="single" w:sz="12" w:space="0" w:color="auto"/>
            </w:tcBorders>
            <w:vAlign w:val="bottom"/>
          </w:tcPr>
          <w:p w14:paraId="23880AE5" w14:textId="77777777" w:rsidR="00B925FF" w:rsidRPr="0047616E" w:rsidRDefault="00B925FF" w:rsidP="00646851">
            <w:pPr>
              <w:pStyle w:val="BodyText"/>
              <w:ind w:right="-18"/>
              <w:jc w:val="right"/>
              <w:rPr>
                <w:rFonts w:ascii="Cambria" w:hAnsi="Cambria"/>
                <w:sz w:val="18"/>
                <w:szCs w:val="18"/>
              </w:rPr>
            </w:pPr>
          </w:p>
        </w:tc>
        <w:tc>
          <w:tcPr>
            <w:tcW w:w="422" w:type="pct"/>
            <w:tcBorders>
              <w:bottom w:val="single" w:sz="12" w:space="0" w:color="auto"/>
            </w:tcBorders>
            <w:vAlign w:val="bottom"/>
          </w:tcPr>
          <w:p w14:paraId="3516C2D7" w14:textId="77777777" w:rsidR="00B925FF" w:rsidRPr="0047616E" w:rsidRDefault="00B925FF" w:rsidP="00646851">
            <w:pPr>
              <w:pStyle w:val="BodyText"/>
              <w:ind w:right="-46"/>
              <w:jc w:val="right"/>
              <w:rPr>
                <w:rFonts w:ascii="Cambria" w:hAnsi="Cambria"/>
                <w:b/>
                <w:sz w:val="18"/>
                <w:szCs w:val="18"/>
              </w:rPr>
            </w:pPr>
          </w:p>
        </w:tc>
        <w:tc>
          <w:tcPr>
            <w:tcW w:w="353" w:type="pct"/>
            <w:tcBorders>
              <w:bottom w:val="single" w:sz="12" w:space="0" w:color="auto"/>
            </w:tcBorders>
            <w:vAlign w:val="bottom"/>
          </w:tcPr>
          <w:p w14:paraId="453D8F2B" w14:textId="77777777" w:rsidR="00B925FF" w:rsidRPr="0047616E" w:rsidRDefault="00B925FF" w:rsidP="00646851">
            <w:pPr>
              <w:pStyle w:val="BodyText"/>
              <w:ind w:right="-46"/>
              <w:jc w:val="right"/>
              <w:rPr>
                <w:rFonts w:ascii="Cambria" w:hAnsi="Cambria"/>
                <w:b/>
                <w:sz w:val="18"/>
                <w:szCs w:val="18"/>
              </w:rPr>
            </w:pPr>
          </w:p>
        </w:tc>
        <w:tc>
          <w:tcPr>
            <w:tcW w:w="422" w:type="pct"/>
            <w:tcBorders>
              <w:bottom w:val="single" w:sz="12" w:space="0" w:color="auto"/>
            </w:tcBorders>
            <w:vAlign w:val="bottom"/>
          </w:tcPr>
          <w:p w14:paraId="65AA2F06" w14:textId="77777777" w:rsidR="00B925FF" w:rsidRPr="0047616E" w:rsidRDefault="00B925FF" w:rsidP="00646851">
            <w:pPr>
              <w:pStyle w:val="BodyText"/>
              <w:ind w:right="-46"/>
              <w:jc w:val="right"/>
              <w:rPr>
                <w:rFonts w:ascii="Cambria" w:hAnsi="Cambria"/>
                <w:b/>
                <w:sz w:val="18"/>
                <w:szCs w:val="18"/>
              </w:rPr>
            </w:pPr>
          </w:p>
        </w:tc>
      </w:tr>
    </w:tbl>
    <w:p w14:paraId="03FD800D" w14:textId="77777777" w:rsidR="00300E39" w:rsidRDefault="00FC2853" w:rsidP="00FC2853">
      <w:pPr>
        <w:pStyle w:val="BodyText"/>
        <w:rPr>
          <w:rFonts w:ascii="Cambria" w:hAnsi="Cambria"/>
          <w:i/>
          <w:sz w:val="18"/>
          <w:szCs w:val="18"/>
        </w:rPr>
      </w:pPr>
      <w:r>
        <w:rPr>
          <w:rFonts w:ascii="Cambria" w:hAnsi="Cambria"/>
          <w:b/>
          <w:sz w:val="20"/>
          <w:vertAlign w:val="superscript"/>
        </w:rPr>
        <w:t xml:space="preserve"> </w:t>
      </w:r>
      <w:r w:rsidRPr="006F2580">
        <w:rPr>
          <w:rFonts w:ascii="Cambria" w:hAnsi="Cambria"/>
          <w:b/>
          <w:sz w:val="20"/>
          <w:vertAlign w:val="superscript"/>
        </w:rPr>
        <w:t xml:space="preserve">1 </w:t>
      </w:r>
      <w:r w:rsidRPr="006F2580">
        <w:rPr>
          <w:rFonts w:ascii="Cambria" w:hAnsi="Cambria"/>
          <w:i/>
          <w:sz w:val="18"/>
          <w:szCs w:val="18"/>
        </w:rPr>
        <w:t>See Financial Measures Reconciliations below</w:t>
      </w:r>
    </w:p>
    <w:p w14:paraId="2F261A23" w14:textId="77777777" w:rsidR="00B925FF" w:rsidRDefault="00B925FF" w:rsidP="00816604">
      <w:pPr>
        <w:spacing w:after="120" w:line="260" w:lineRule="atLeast"/>
        <w:jc w:val="both"/>
        <w:rPr>
          <w:rFonts w:asciiTheme="majorHAnsi" w:hAnsiTheme="majorHAnsi" w:cs="Arial"/>
          <w:b/>
          <w:bCs/>
          <w:sz w:val="20"/>
          <w:bdr w:val="none" w:sz="0" w:space="0" w:color="auto" w:frame="1"/>
        </w:rPr>
      </w:pPr>
    </w:p>
    <w:p w14:paraId="63C57905" w14:textId="77777777" w:rsidR="008304EA" w:rsidRPr="003B7773" w:rsidRDefault="008304EA" w:rsidP="00816604">
      <w:pPr>
        <w:spacing w:after="120" w:line="260" w:lineRule="atLeast"/>
        <w:jc w:val="both"/>
        <w:rPr>
          <w:rFonts w:asciiTheme="majorHAnsi" w:hAnsiTheme="majorHAnsi" w:cs="Arial"/>
          <w:b/>
          <w:bCs/>
          <w:sz w:val="20"/>
          <w:bdr w:val="none" w:sz="0" w:space="0" w:color="auto" w:frame="1"/>
        </w:rPr>
      </w:pPr>
      <w:r w:rsidRPr="003B7773">
        <w:rPr>
          <w:rFonts w:asciiTheme="majorHAnsi" w:hAnsiTheme="majorHAnsi" w:cs="Arial"/>
          <w:b/>
          <w:bCs/>
          <w:sz w:val="20"/>
          <w:bdr w:val="none" w:sz="0" w:space="0" w:color="auto" w:frame="1"/>
        </w:rPr>
        <w:t>LIQUIDITY AND CAPITAL RESOURCES</w:t>
      </w:r>
    </w:p>
    <w:p w14:paraId="29C09986" w14:textId="77777777" w:rsidR="00A170FB" w:rsidRPr="000B4AF2" w:rsidRDefault="00A170FB" w:rsidP="00A170FB">
      <w:pPr>
        <w:jc w:val="both"/>
        <w:rPr>
          <w:rFonts w:asciiTheme="majorHAnsi" w:hAnsiTheme="majorHAnsi"/>
          <w:sz w:val="20"/>
          <w:u w:val="single"/>
          <w:lang w:val="en-CA"/>
        </w:rPr>
      </w:pPr>
      <w:r w:rsidRPr="000B4AF2">
        <w:rPr>
          <w:rFonts w:asciiTheme="majorHAnsi" w:hAnsiTheme="majorHAnsi"/>
          <w:sz w:val="20"/>
          <w:u w:val="single"/>
          <w:lang w:val="en-CA"/>
        </w:rPr>
        <w:t>Loan and security facility:</w:t>
      </w:r>
    </w:p>
    <w:p w14:paraId="5CCE61F3"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 xml:space="preserve">On April 21, 2017, the Company entered into a Loan and Security Agreement with a new lender.  The Loan and Security Agreement in the amount of $20.4 million was used to repay the Syndicated Credit Facility, bore interest at a rate of 12.75% and had a term of 12 months with an option to extend for an additional 12 months at the satisfaction of the </w:t>
      </w:r>
      <w:r w:rsidRPr="00A170FB">
        <w:rPr>
          <w:rFonts w:ascii="Cambria" w:hAnsi="Cambria"/>
          <w:b w:val="0"/>
          <w:bCs/>
          <w:lang w:val="en-CA"/>
        </w:rPr>
        <w:lastRenderedPageBreak/>
        <w:t xml:space="preserve">lender.  The Loan and Security Agreement was to be serviced by six months of interest only payments, followed by six months of blended principal and interest payments.  The Loan and Security Agreement did not require quantitative financial covenants, but imposes restrictions on the Loan’s collateral, being the property and equipment of the Company.   </w:t>
      </w:r>
    </w:p>
    <w:p w14:paraId="749090EC"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April 21, 2017, the Company issued the lender 3,651,501 share purchase warrants.  Each warrant entitles the lender to acquire one common share in the Company at an exercise price of $0.25 per warrant.  The warrants expire on July 21, 2019.  The warrants fair value of $300 was recorded as a transaction cost of the loan and is being expensed over the term of the loan.</w:t>
      </w:r>
    </w:p>
    <w:p w14:paraId="6914B248"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March 28, 2018, the Company renewed the Loan and Security agreement in the amount of $17.5 million for an additional six months with an option to renew for an additional six months at the satisfaction of the lender.  The renewed Loan and Security agreement bore interest at 12.75% and was serviced by six months of interest only payments, followed by six months of principal and interest payments in the event that it was renewed.  The Company also entered into a Warrant Amendment Agreement which amended the exercise price of the previously issued warrants to $0.27 per share from $0.25 per share and extended the expiry date to July 21, 2020.  The facility no longer has any shareholder guarantees pledged as security, and all covenants and collateral remain the same.</w:t>
      </w:r>
    </w:p>
    <w:p w14:paraId="5A085A6F"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September 28, 2018, the Company renewed the Loan and Security agreement in the amount of $15.9 million for an additional six months with an option to renew for an additional six months at the satisfaction of the lender.  The renewed Loan and Security agreement bears interest at 12.75% and is serviced by six months of interest only payments, followed by six months of interest only payments in the event that it is renewed.  The Company also entered into a Warrant Amendment Agreement which amended the exercise price of the previously issued warrants to $0.20 per share from $0.27 per share and extended the expiry date to January 21, 2021.  All covenants and collateral remain the same.</w:t>
      </w:r>
    </w:p>
    <w:p w14:paraId="0D822BD8"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October 1, 2018, the Company issued the lender an additional 248,209 share purchase warrants.  Each warrant entitles the lender to acquire one common share in the Company at an exercise price of $0.20 per warrant.  The warrants expire on January 21, 2021.</w:t>
      </w:r>
    </w:p>
    <w:p w14:paraId="55D8B6F0"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March 25, 2019, the Company renewed the Loan and Security agreement in the amount of $14.3 million for an additional 12 months with an option to renewal for an additional 12 months at the satisfaction of the lender.  The renewed loan and security agreement bears interest at 12.75% and is serviced by 12 months of interest only payments.  The Company also entered into a Warrant Amendment Agreement which amended the exercise price of the previously issued warrants to $0.145 per share from $0.20 per share and extended the expiry date to January 21, 2022.  All covenants and collateral remain the same.</w:t>
      </w:r>
    </w:p>
    <w:p w14:paraId="75EEFB3D"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On March 25, 2019, the Company issued the lender an additional 2,068 share purchase warrants.  Each warrant entitles the lender to acquire one common share in the Company at an exercise price of $0.145 per warrant.  The warrants expire on January 21, 2022.</w:t>
      </w:r>
    </w:p>
    <w:p w14:paraId="6C293C22" w14:textId="77777777" w:rsidR="00A170FB" w:rsidRPr="000B4AF2" w:rsidRDefault="00A170FB" w:rsidP="00A170FB">
      <w:pPr>
        <w:pStyle w:val="Ne1"/>
        <w:spacing w:before="240" w:line="240" w:lineRule="auto"/>
        <w:jc w:val="both"/>
        <w:rPr>
          <w:rFonts w:asciiTheme="majorHAnsi" w:hAnsiTheme="majorHAnsi"/>
          <w:b w:val="0"/>
          <w:bCs/>
          <w:u w:val="single"/>
          <w:lang w:val="en-CA"/>
        </w:rPr>
      </w:pPr>
      <w:r w:rsidRPr="000B4AF2">
        <w:rPr>
          <w:rFonts w:asciiTheme="majorHAnsi" w:hAnsiTheme="majorHAnsi"/>
          <w:b w:val="0"/>
          <w:bCs/>
          <w:u w:val="single"/>
          <w:lang w:val="en-CA"/>
        </w:rPr>
        <w:t>Operating loan, term loan and equipment term loan facility:</w:t>
      </w:r>
    </w:p>
    <w:p w14:paraId="04F4D0A0" w14:textId="77777777" w:rsidR="00A170FB" w:rsidRP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 xml:space="preserve">On May 10, 2017, the Company signed a $1 million operating loan agreement bearing interest at a rate of prime plus 3.3% and secured by the Company’s accounts receivables and restricted cash.  The operating loan facility required that the Company’s current ratio does not fall below 1.50:1.00 and effective September 30, 2017, the debt service coverage ratio not be less than 1.50:1.00, calculated in accordance with the formula set forth in the agreement.  </w:t>
      </w:r>
    </w:p>
    <w:p w14:paraId="3EF44FBC" w14:textId="77777777" w:rsidR="00A170FB" w:rsidRDefault="00A170FB" w:rsidP="00A170FB">
      <w:pPr>
        <w:pStyle w:val="Ne1"/>
        <w:spacing w:after="120" w:line="240" w:lineRule="auto"/>
        <w:jc w:val="both"/>
        <w:rPr>
          <w:rFonts w:ascii="Cambria" w:hAnsi="Cambria"/>
          <w:b w:val="0"/>
          <w:bCs/>
          <w:lang w:val="en-CA"/>
        </w:rPr>
      </w:pPr>
      <w:r w:rsidRPr="00A170FB">
        <w:rPr>
          <w:rFonts w:ascii="Cambria" w:hAnsi="Cambria"/>
          <w:b w:val="0"/>
          <w:bCs/>
          <w:lang w:val="en-CA"/>
        </w:rPr>
        <w:t xml:space="preserve">On March 28, 2018, the Company signed a $13.5 million credit facility, comprised of a $3 million operating loan facility, which replaces the $1 million operating loan facility, a $2.5 million non-revolving term loan facility, which was used to pay out the guarantee from the Loan and Security agreement, and an $8 million equipment finance term loan facility.  The operating loan facility is payable on demand by the lender, bears interest at a rate of prime plus 3.3% and is secured by the Company’s accounts receivable.   The term facility matures in two years, bears interest at a rate of prime plus 3.3% and is secured by a shareholder guarantee.  The shareholder guarantee bears interest at a rate of 5.0% per annum and is paid monthly through the issuance of shares.  The equipment finance loan is amortized over 36 to 60 months, bears interest at a rate of 6.1% to 6.2% and is repayable in equal monthly installments of principal and interest over the term.  The equipment finance loan will be used to finance 75% of the cost of new equipment purchased.  The credit facility requires that the Company’s current ratio does not fall below 1.50:1.00, the debt service coverage ratio does not fall below 1.25:1.00 and the share value of the shares pledged under the shareholder guarantee not be less than 1.25 times the value of the outstanding term facility.      </w:t>
      </w:r>
    </w:p>
    <w:p w14:paraId="3DA3AF52" w14:textId="77777777" w:rsidR="004707AA" w:rsidRPr="004707AA" w:rsidRDefault="004707AA" w:rsidP="004707AA">
      <w:pPr>
        <w:pStyle w:val="Ne1"/>
        <w:spacing w:after="120" w:line="240" w:lineRule="auto"/>
        <w:jc w:val="both"/>
        <w:rPr>
          <w:rFonts w:ascii="Cambria" w:hAnsi="Cambria"/>
          <w:b w:val="0"/>
          <w:bCs/>
          <w:lang w:val="en-CA"/>
        </w:rPr>
      </w:pPr>
      <w:r w:rsidRPr="004707AA">
        <w:rPr>
          <w:rFonts w:ascii="Cambria" w:hAnsi="Cambria"/>
          <w:b w:val="0"/>
          <w:bCs/>
          <w:lang w:val="en-CA"/>
        </w:rPr>
        <w:t xml:space="preserve">On September 26, 2019, the Company signed an amending agreement to the $13.5 million credit facility.  The amending agreement extended the $2.5 million non-revolving term loan facility to March 15, 2021.  The $8 million equipment </w:t>
      </w:r>
      <w:r w:rsidRPr="004707AA">
        <w:rPr>
          <w:rFonts w:ascii="Cambria" w:hAnsi="Cambria"/>
          <w:b w:val="0"/>
          <w:bCs/>
          <w:lang w:val="en-CA"/>
        </w:rPr>
        <w:lastRenderedPageBreak/>
        <w:t xml:space="preserve">finance term loan facility was reduced to $4.8 million.  The debt service coverage ratio was amended to 1.05:1:00 for the quarter ending March 31, 2020 and 1.10:1.00 for the quarter ending June 30, 2020.  The shares pledged under the shareholder guarantee was revised from the 1.25 times the values of the outstanding term facility to a minimum trade value. </w:t>
      </w:r>
    </w:p>
    <w:p w14:paraId="4B89B654" w14:textId="77777777" w:rsidR="004707AA" w:rsidRDefault="004707AA" w:rsidP="004707AA">
      <w:pPr>
        <w:pStyle w:val="Ne1"/>
        <w:spacing w:after="120" w:line="240" w:lineRule="auto"/>
        <w:jc w:val="both"/>
        <w:rPr>
          <w:rFonts w:ascii="Cambria" w:hAnsi="Cambria"/>
          <w:b w:val="0"/>
          <w:bCs/>
          <w:lang w:val="en-CA"/>
        </w:rPr>
      </w:pPr>
      <w:r w:rsidRPr="004707AA">
        <w:rPr>
          <w:rFonts w:ascii="Cambria" w:hAnsi="Cambria"/>
          <w:b w:val="0"/>
          <w:bCs/>
          <w:lang w:val="en-CA"/>
        </w:rPr>
        <w:t>As at September 30, 2019, the Company’s current ratio, as defined to exclude the current portion of debt, was 3.21:1.00, the debt service coverage ratio, calculated in accordance with IAS 17 per agreement with lender, was 1.31:1.00 and the value of the shares pledged under the shareholder guarantee was greater than minimum trade value requirement.</w:t>
      </w:r>
    </w:p>
    <w:p w14:paraId="7D2490AD" w14:textId="77777777" w:rsidR="004707AA" w:rsidRPr="004707AA" w:rsidRDefault="004707AA" w:rsidP="004707AA">
      <w:pPr>
        <w:pStyle w:val="Ne1"/>
        <w:spacing w:after="120" w:line="240" w:lineRule="auto"/>
        <w:jc w:val="both"/>
        <w:rPr>
          <w:rFonts w:ascii="Cambria" w:hAnsi="Cambria"/>
          <w:b w:val="0"/>
          <w:bCs/>
          <w:lang w:val="en-CA"/>
        </w:rPr>
      </w:pPr>
      <w:r w:rsidRPr="004707AA">
        <w:rPr>
          <w:rFonts w:ascii="Cambria" w:hAnsi="Cambria"/>
          <w:b w:val="0"/>
          <w:bCs/>
          <w:lang w:val="en-CA"/>
        </w:rPr>
        <w:t xml:space="preserve">For the quarter ending September 30, 2019, the Company remains in compliance with all financial covenants pertaining to its bank debt.  However, in light of the current volatility in the oil and gas sector and uncertainty regarding take away capacity constraints, the Company is expected to be near the minimum debt service coverage ratio required under its credit facility in future quarters.  The Company is currently working with its lenders on a credit amendment and management feels this amendment would allow the Company to comply with all financial covenants in future quarters.  If this amendment is not obtained and the Company does not comply with all financial covenants, this will represent an event of default under the credit facility and the lender has the right to demand repayment of all amounts under the facility.   </w:t>
      </w:r>
    </w:p>
    <w:p w14:paraId="7ECF26B8" w14:textId="77777777" w:rsidR="00FC2853" w:rsidRDefault="00FC2853" w:rsidP="00FC2853">
      <w:pPr>
        <w:pStyle w:val="Ne2"/>
        <w:spacing w:before="60" w:line="240" w:lineRule="auto"/>
        <w:ind w:left="0"/>
        <w:rPr>
          <w:rFonts w:asciiTheme="majorHAnsi" w:hAnsiTheme="majorHAnsi"/>
          <w:highlight w:val="green"/>
          <w:lang w:val="en-CA"/>
        </w:rPr>
      </w:pPr>
    </w:p>
    <w:p w14:paraId="6C0D5402" w14:textId="77777777" w:rsidR="00FC2853" w:rsidRPr="006F2580" w:rsidRDefault="00FC2853" w:rsidP="00FC2853">
      <w:pPr>
        <w:tabs>
          <w:tab w:val="left" w:pos="2760"/>
        </w:tabs>
        <w:jc w:val="both"/>
        <w:rPr>
          <w:rFonts w:ascii="Cambria" w:hAnsi="Cambria" w:cs="Arial"/>
          <w:b/>
          <w:szCs w:val="24"/>
        </w:rPr>
      </w:pPr>
      <w:r w:rsidRPr="0088192E">
        <w:rPr>
          <w:rFonts w:ascii="Cambria" w:hAnsi="Cambria" w:cs="Arial"/>
          <w:b/>
          <w:szCs w:val="24"/>
        </w:rPr>
        <w:t>OUTLOOK</w:t>
      </w:r>
      <w:r>
        <w:rPr>
          <w:rFonts w:ascii="Cambria" w:hAnsi="Cambria" w:cs="Arial"/>
          <w:b/>
          <w:szCs w:val="24"/>
        </w:rPr>
        <w:tab/>
      </w:r>
    </w:p>
    <w:p w14:paraId="565CB19C" w14:textId="77777777" w:rsidR="004707AA" w:rsidRDefault="004707AA" w:rsidP="004707AA">
      <w:pPr>
        <w:spacing w:before="60" w:after="120"/>
        <w:jc w:val="both"/>
        <w:rPr>
          <w:rFonts w:ascii="Cambria" w:hAnsi="Cambria" w:cs="Arial"/>
          <w:sz w:val="20"/>
        </w:rPr>
      </w:pPr>
      <w:r>
        <w:rPr>
          <w:rFonts w:ascii="Cambria" w:hAnsi="Cambria" w:cs="Arial"/>
          <w:sz w:val="20"/>
        </w:rPr>
        <w:t xml:space="preserve">The mandated crude oil production cuts in Alberta, coupled with the uncertainty surrounding pipeline construction and related take away capacity has resulted in 2019 capital budgets for Western Canadian customers to decrease significantly year over year.  As a result, drilling </w:t>
      </w:r>
      <w:r w:rsidRPr="0047616E">
        <w:rPr>
          <w:rFonts w:ascii="Cambria" w:hAnsi="Cambria" w:cs="Arial"/>
          <w:sz w:val="20"/>
        </w:rPr>
        <w:t>and completions activity in the Western Canadian Sedimentary Basin (“WCSB”) decreased in the</w:t>
      </w:r>
      <w:r>
        <w:rPr>
          <w:rFonts w:ascii="Cambria" w:hAnsi="Cambria" w:cs="Arial"/>
          <w:sz w:val="20"/>
        </w:rPr>
        <w:t xml:space="preserve"> first</w:t>
      </w:r>
      <w:r w:rsidRPr="0047616E">
        <w:rPr>
          <w:rFonts w:ascii="Cambria" w:hAnsi="Cambria" w:cs="Arial"/>
          <w:sz w:val="20"/>
        </w:rPr>
        <w:t xml:space="preserve"> </w:t>
      </w:r>
      <w:r>
        <w:rPr>
          <w:rFonts w:ascii="Cambria" w:hAnsi="Cambria" w:cs="Arial"/>
          <w:sz w:val="20"/>
        </w:rPr>
        <w:t>nine months</w:t>
      </w:r>
      <w:r w:rsidRPr="0047616E">
        <w:rPr>
          <w:rFonts w:ascii="Cambria" w:hAnsi="Cambria" w:cs="Arial"/>
          <w:sz w:val="20"/>
        </w:rPr>
        <w:t xml:space="preserve"> of 2019 when compared to 2018</w:t>
      </w:r>
      <w:r>
        <w:rPr>
          <w:rFonts w:ascii="Cambria" w:hAnsi="Cambria" w:cs="Arial"/>
          <w:sz w:val="20"/>
        </w:rPr>
        <w:t xml:space="preserve">.  Uncertainty remains in the outlook for </w:t>
      </w:r>
      <w:r w:rsidRPr="0047616E">
        <w:rPr>
          <w:rFonts w:ascii="Cambria" w:hAnsi="Cambria" w:cs="Arial"/>
          <w:sz w:val="20"/>
        </w:rPr>
        <w:t>commodity prices and drilling activity</w:t>
      </w:r>
      <w:r>
        <w:rPr>
          <w:rFonts w:ascii="Cambria" w:hAnsi="Cambria" w:cs="Arial"/>
          <w:sz w:val="20"/>
        </w:rPr>
        <w:t xml:space="preserve"> for the balance of 2019, and therefore the industry, along with Zedor, continues to take a measured approach to spending.</w:t>
      </w:r>
    </w:p>
    <w:p w14:paraId="3D168244" w14:textId="77777777" w:rsidR="004707AA" w:rsidRPr="0047616E" w:rsidRDefault="004707AA" w:rsidP="004707AA">
      <w:pPr>
        <w:spacing w:before="120" w:after="120"/>
        <w:jc w:val="both"/>
        <w:rPr>
          <w:rFonts w:ascii="Cambria" w:hAnsi="Cambria" w:cs="Arial"/>
          <w:sz w:val="20"/>
        </w:rPr>
      </w:pPr>
      <w:r w:rsidRPr="0047616E">
        <w:rPr>
          <w:rFonts w:ascii="Cambria" w:hAnsi="Cambria" w:cs="Arial"/>
          <w:sz w:val="20"/>
        </w:rPr>
        <w:t xml:space="preserve">The Company anticipates that demand for rental equipment which supports drilling and completions activity in the WCSB, along with its associated rental rates, will remain flat throughout the remainder of 2019.  As a result, the Company continues to focus on increasing market share </w:t>
      </w:r>
      <w:r>
        <w:rPr>
          <w:rFonts w:ascii="Cambria" w:hAnsi="Cambria" w:cs="Arial"/>
          <w:sz w:val="20"/>
        </w:rPr>
        <w:t>and strong relationships with existing customers</w:t>
      </w:r>
      <w:r w:rsidRPr="0047616E">
        <w:rPr>
          <w:rFonts w:ascii="Cambria" w:hAnsi="Cambria" w:cs="Arial"/>
          <w:sz w:val="20"/>
        </w:rPr>
        <w:t xml:space="preserve">.  The Company will continue to sell older under-utilized assets which will decrease repairs and maintenance costs, improve the bottom line and further reduce debt. </w:t>
      </w:r>
    </w:p>
    <w:p w14:paraId="23904751" w14:textId="77777777" w:rsidR="004707AA" w:rsidRDefault="004707AA" w:rsidP="004707AA">
      <w:pPr>
        <w:spacing w:before="120" w:after="120"/>
        <w:jc w:val="both"/>
        <w:rPr>
          <w:rFonts w:ascii="Cambria" w:hAnsi="Cambria" w:cs="Arial"/>
          <w:sz w:val="20"/>
        </w:rPr>
      </w:pPr>
      <w:r>
        <w:rPr>
          <w:rFonts w:ascii="Cambria" w:hAnsi="Cambria" w:cs="Arial"/>
          <w:sz w:val="20"/>
        </w:rPr>
        <w:t xml:space="preserve">Despite the current market conditions, Zedcor continues to diversify and increase its market reach and customer base with the Company’s security and surveillance offering.  Utilization of the Company’s fleet of solar hybrid light towers with high resolution cameras increased significantly in the third quarter of 2019, when compared to the third quarter of 2018.  As market interest and demand for the security and surveillance service offering continues to grow, the Company remains focused on successful expansion of this segment through a growing fleet and additional service offerings, while maintaining strong operational performance. </w:t>
      </w:r>
    </w:p>
    <w:p w14:paraId="710CB561" w14:textId="77777777" w:rsidR="004707AA" w:rsidRPr="0047616E" w:rsidRDefault="004707AA" w:rsidP="004707AA">
      <w:pPr>
        <w:spacing w:before="120" w:after="120"/>
        <w:jc w:val="both"/>
        <w:rPr>
          <w:rFonts w:ascii="Cambria" w:hAnsi="Cambria" w:cs="Arial"/>
          <w:sz w:val="20"/>
        </w:rPr>
      </w:pPr>
      <w:r w:rsidRPr="0047616E">
        <w:rPr>
          <w:rFonts w:ascii="Cambria" w:hAnsi="Cambria" w:cs="Arial"/>
          <w:sz w:val="20"/>
        </w:rPr>
        <w:t xml:space="preserve">The Company </w:t>
      </w:r>
      <w:r>
        <w:rPr>
          <w:rFonts w:ascii="Cambria" w:hAnsi="Cambria" w:cs="Arial"/>
          <w:sz w:val="20"/>
        </w:rPr>
        <w:t>is committed to</w:t>
      </w:r>
      <w:r w:rsidRPr="0047616E">
        <w:rPr>
          <w:rFonts w:ascii="Cambria" w:hAnsi="Cambria" w:cs="Arial"/>
          <w:sz w:val="20"/>
        </w:rPr>
        <w:t xml:space="preserve"> </w:t>
      </w:r>
      <w:r>
        <w:rPr>
          <w:rFonts w:ascii="Cambria" w:hAnsi="Cambria" w:cs="Arial"/>
          <w:sz w:val="20"/>
        </w:rPr>
        <w:t xml:space="preserve">generating strong free cash flow from operations in order to further reduce debt and </w:t>
      </w:r>
      <w:r w:rsidRPr="0047616E">
        <w:rPr>
          <w:rFonts w:ascii="Cambria" w:hAnsi="Cambria" w:cs="Arial"/>
          <w:sz w:val="20"/>
        </w:rPr>
        <w:t xml:space="preserve">strengthen the balance sheet.  </w:t>
      </w:r>
      <w:r>
        <w:rPr>
          <w:rFonts w:ascii="Cambria" w:hAnsi="Cambria" w:cs="Arial"/>
          <w:sz w:val="20"/>
        </w:rPr>
        <w:t xml:space="preserve">In conjunction, Zedcor continues </w:t>
      </w:r>
      <w:r w:rsidRPr="0047616E">
        <w:rPr>
          <w:rFonts w:ascii="Cambria" w:hAnsi="Cambria" w:cs="Arial"/>
          <w:sz w:val="20"/>
        </w:rPr>
        <w:t xml:space="preserve">to </w:t>
      </w:r>
      <w:r>
        <w:rPr>
          <w:rFonts w:ascii="Cambria" w:hAnsi="Cambria" w:cs="Arial"/>
          <w:sz w:val="20"/>
        </w:rPr>
        <w:t xml:space="preserve">strive to </w:t>
      </w:r>
      <w:r w:rsidRPr="0047616E">
        <w:rPr>
          <w:rFonts w:ascii="Cambria" w:hAnsi="Cambria" w:cs="Arial"/>
          <w:sz w:val="20"/>
        </w:rPr>
        <w:t>improv</w:t>
      </w:r>
      <w:r>
        <w:rPr>
          <w:rFonts w:ascii="Cambria" w:hAnsi="Cambria" w:cs="Arial"/>
          <w:sz w:val="20"/>
        </w:rPr>
        <w:t>e</w:t>
      </w:r>
      <w:r w:rsidRPr="0047616E">
        <w:rPr>
          <w:rFonts w:ascii="Cambria" w:hAnsi="Cambria" w:cs="Arial"/>
          <w:sz w:val="20"/>
        </w:rPr>
        <w:t xml:space="preserve"> its operational and financial performance through efficiencies and cost reductions in its operations while creating shareholder value for the long term.   </w:t>
      </w:r>
    </w:p>
    <w:p w14:paraId="0F974AF8" w14:textId="77777777" w:rsidR="00B925FF" w:rsidRDefault="00B925FF" w:rsidP="00B925FF">
      <w:pPr>
        <w:spacing w:before="120" w:after="120"/>
        <w:jc w:val="both"/>
        <w:rPr>
          <w:rFonts w:ascii="Cambria" w:hAnsi="Cambria" w:cs="Arial"/>
          <w:sz w:val="20"/>
        </w:rPr>
      </w:pPr>
    </w:p>
    <w:p w14:paraId="3A23C1F8" w14:textId="77777777" w:rsidR="00816604" w:rsidRPr="00B925FF" w:rsidRDefault="00816604" w:rsidP="00B925FF">
      <w:pPr>
        <w:spacing w:before="120" w:after="120"/>
        <w:jc w:val="both"/>
        <w:rPr>
          <w:rFonts w:ascii="Cambria" w:hAnsi="Cambria" w:cs="Arial"/>
          <w:sz w:val="20"/>
        </w:rPr>
      </w:pPr>
      <w:r w:rsidRPr="003B7773">
        <w:rPr>
          <w:rFonts w:asciiTheme="majorHAnsi" w:hAnsiTheme="majorHAnsi" w:cs="Arial"/>
          <w:b/>
          <w:bCs/>
          <w:sz w:val="20"/>
          <w:bdr w:val="none" w:sz="0" w:space="0" w:color="auto" w:frame="1"/>
        </w:rPr>
        <w:t>NON-IFRS MEASURES RECONCILIATION</w:t>
      </w:r>
    </w:p>
    <w:p w14:paraId="08D51193" w14:textId="77777777" w:rsidR="00A170FB" w:rsidRPr="008A4A3D" w:rsidRDefault="005500CF" w:rsidP="00A170FB">
      <w:pPr>
        <w:jc w:val="both"/>
        <w:rPr>
          <w:rFonts w:ascii="Cambria" w:hAnsi="Cambria"/>
          <w:sz w:val="20"/>
        </w:rPr>
      </w:pPr>
      <w:r w:rsidRPr="003B7773">
        <w:rPr>
          <w:rFonts w:asciiTheme="majorHAnsi" w:hAnsiTheme="majorHAnsi" w:cs="Arial"/>
          <w:sz w:val="20"/>
        </w:rPr>
        <w:t>The Company</w:t>
      </w:r>
      <w:r w:rsidR="0049598E" w:rsidRPr="003B7773">
        <w:rPr>
          <w:rFonts w:asciiTheme="majorHAnsi" w:hAnsiTheme="majorHAnsi" w:cs="Arial"/>
          <w:sz w:val="20"/>
        </w:rPr>
        <w:t xml:space="preserve"> </w:t>
      </w:r>
      <w:r w:rsidR="00A170FB" w:rsidRPr="008A4A3D">
        <w:rPr>
          <w:rFonts w:ascii="Cambria" w:hAnsi="Cambria"/>
          <w:sz w:val="20"/>
        </w:rPr>
        <w:t>us</w:t>
      </w:r>
      <w:r w:rsidR="00823176">
        <w:rPr>
          <w:rFonts w:ascii="Cambria" w:hAnsi="Cambria"/>
          <w:sz w:val="20"/>
        </w:rPr>
        <w:t>es certain measures in this press release</w:t>
      </w:r>
      <w:r w:rsidR="00A170FB" w:rsidRPr="008A4A3D">
        <w:rPr>
          <w:rFonts w:ascii="Cambria" w:hAnsi="Cambria"/>
          <w:sz w:val="20"/>
        </w:rPr>
        <w:t xml:space="preserve"> which do not have any standardized meaning as prescribed by International Financial Reporting Standards (“IFRS”).  These measures which are derived from information reported in the consolidated statements of operations and comprehensive income may not be comparable to similar measures presented by other reporting issuers.  These measures have been desc</w:t>
      </w:r>
      <w:r w:rsidR="00823176">
        <w:rPr>
          <w:rFonts w:ascii="Cambria" w:hAnsi="Cambria"/>
          <w:sz w:val="20"/>
        </w:rPr>
        <w:t>ribed and presented in this press release</w:t>
      </w:r>
      <w:r w:rsidR="00A170FB" w:rsidRPr="008A4A3D">
        <w:rPr>
          <w:rFonts w:ascii="Cambria" w:hAnsi="Cambria"/>
          <w:sz w:val="20"/>
        </w:rPr>
        <w:t xml:space="preserve"> in order to provide shareholders and potential investors with additional information regarding the Company.</w:t>
      </w:r>
    </w:p>
    <w:p w14:paraId="710FFD01" w14:textId="77777777" w:rsidR="00A170FB" w:rsidRPr="008A4A3D" w:rsidRDefault="00A170FB" w:rsidP="00A170FB">
      <w:pPr>
        <w:spacing w:before="120"/>
        <w:jc w:val="both"/>
        <w:rPr>
          <w:rFonts w:ascii="Cambria" w:hAnsi="Cambria"/>
          <w:sz w:val="20"/>
        </w:rPr>
      </w:pPr>
      <w:r w:rsidRPr="008A4A3D">
        <w:rPr>
          <w:rFonts w:ascii="Cambria" w:hAnsi="Cambria"/>
          <w:sz w:val="20"/>
        </w:rPr>
        <w:t>Investors are cautioned that EBITDA, adjusted EBITDA, adjusted EBITDA per share, adjusted EBIT and adjusted free cash flow are not acceptable alternatives to net income or net income per share, a measurement of liquidity, or comparable measures as determined in accordance with IFRS.</w:t>
      </w:r>
    </w:p>
    <w:p w14:paraId="0D6A0FF2" w14:textId="77777777" w:rsidR="0049598E" w:rsidRPr="003B7773" w:rsidRDefault="0049598E" w:rsidP="0049598E">
      <w:pPr>
        <w:jc w:val="both"/>
        <w:rPr>
          <w:rFonts w:asciiTheme="majorHAnsi" w:hAnsiTheme="majorHAnsi" w:cs="Arial"/>
          <w:sz w:val="20"/>
        </w:rPr>
      </w:pPr>
    </w:p>
    <w:p w14:paraId="38F25EB4" w14:textId="77777777" w:rsidR="004707AA" w:rsidRDefault="004707AA" w:rsidP="005500CF">
      <w:pPr>
        <w:pStyle w:val="BodyText"/>
        <w:spacing w:before="120" w:line="360" w:lineRule="auto"/>
        <w:rPr>
          <w:rFonts w:asciiTheme="majorHAnsi" w:hAnsiTheme="majorHAnsi" w:cs="Arial"/>
          <w:b/>
          <w:i/>
          <w:sz w:val="20"/>
        </w:rPr>
      </w:pPr>
    </w:p>
    <w:p w14:paraId="4527E42D" w14:textId="77777777" w:rsidR="004707AA" w:rsidRDefault="004707AA" w:rsidP="005500CF">
      <w:pPr>
        <w:pStyle w:val="BodyText"/>
        <w:spacing w:before="120" w:line="360" w:lineRule="auto"/>
        <w:rPr>
          <w:rFonts w:asciiTheme="majorHAnsi" w:hAnsiTheme="majorHAnsi" w:cs="Arial"/>
          <w:b/>
          <w:i/>
          <w:sz w:val="20"/>
        </w:rPr>
      </w:pPr>
    </w:p>
    <w:p w14:paraId="26696273" w14:textId="77777777" w:rsidR="0049598E" w:rsidRPr="003B7773" w:rsidRDefault="0049598E" w:rsidP="005500CF">
      <w:pPr>
        <w:pStyle w:val="BodyText"/>
        <w:spacing w:before="120" w:line="360" w:lineRule="auto"/>
        <w:rPr>
          <w:rFonts w:asciiTheme="majorHAnsi" w:hAnsiTheme="majorHAnsi" w:cs="Arial"/>
          <w:b/>
          <w:i/>
          <w:sz w:val="20"/>
        </w:rPr>
      </w:pPr>
      <w:r w:rsidRPr="003B7773">
        <w:rPr>
          <w:rFonts w:asciiTheme="majorHAnsi" w:hAnsiTheme="majorHAnsi" w:cs="Arial"/>
          <w:b/>
          <w:i/>
          <w:sz w:val="20"/>
        </w:rPr>
        <w:lastRenderedPageBreak/>
        <w:t>EBITDA and Adjusted EBITDA</w:t>
      </w:r>
    </w:p>
    <w:p w14:paraId="33F28FEC" w14:textId="77777777" w:rsidR="00A170FB" w:rsidRPr="000B4AF2" w:rsidRDefault="00A170FB" w:rsidP="00A170FB">
      <w:pPr>
        <w:spacing w:before="120"/>
        <w:jc w:val="both"/>
        <w:rPr>
          <w:rFonts w:ascii="Cambria" w:hAnsi="Cambria"/>
          <w:sz w:val="20"/>
        </w:rPr>
      </w:pPr>
      <w:r w:rsidRPr="000B4AF2">
        <w:rPr>
          <w:rFonts w:ascii="Cambria" w:hAnsi="Cambria"/>
          <w:sz w:val="20"/>
        </w:rPr>
        <w:t xml:space="preserve">EBITDA refers to net income before finance costs, income taxes, depreciation and amortization. Adjusted EBITDA is calculated as EBITDA before costs associated with severance, gains and losses on </w:t>
      </w:r>
      <w:r>
        <w:rPr>
          <w:rFonts w:ascii="Cambria" w:hAnsi="Cambria"/>
          <w:sz w:val="20"/>
        </w:rPr>
        <w:t>sale of</w:t>
      </w:r>
      <w:r w:rsidRPr="000B4AF2">
        <w:rPr>
          <w:rFonts w:ascii="Cambria" w:hAnsi="Cambria"/>
          <w:sz w:val="20"/>
        </w:rPr>
        <w:t xml:space="preserve"> equipment and s</w:t>
      </w:r>
      <w:r>
        <w:rPr>
          <w:rFonts w:ascii="Cambria" w:hAnsi="Cambria"/>
          <w:sz w:val="20"/>
        </w:rPr>
        <w:t>tock</w:t>
      </w:r>
      <w:r w:rsidRPr="000B4AF2">
        <w:rPr>
          <w:rFonts w:ascii="Cambria" w:hAnsi="Cambria"/>
          <w:sz w:val="20"/>
        </w:rPr>
        <w:t xml:space="preserve"> based compensation. These measures do not have a standardized definition prescribed by IFRS and therefore may not be comparable to similar captioned terms presented by other issuers.</w:t>
      </w:r>
    </w:p>
    <w:p w14:paraId="7B8828C6" w14:textId="77777777" w:rsidR="00A170FB" w:rsidRPr="000B4AF2" w:rsidRDefault="00A170FB" w:rsidP="00A170FB">
      <w:pPr>
        <w:jc w:val="both"/>
        <w:rPr>
          <w:rFonts w:ascii="Cambria" w:hAnsi="Cambria" w:cs="Arial"/>
          <w:sz w:val="20"/>
        </w:rPr>
      </w:pPr>
    </w:p>
    <w:p w14:paraId="31911E2E" w14:textId="77777777" w:rsidR="002D7FD2" w:rsidRDefault="00A170FB" w:rsidP="00F638B0">
      <w:pPr>
        <w:spacing w:before="120"/>
        <w:jc w:val="both"/>
        <w:rPr>
          <w:rFonts w:ascii="Cambria" w:hAnsi="Cambria"/>
          <w:sz w:val="20"/>
        </w:rPr>
      </w:pPr>
      <w:r w:rsidRPr="000B4AF2">
        <w:rPr>
          <w:rFonts w:ascii="Cambria" w:hAnsi="Cambria"/>
          <w:sz w:val="20"/>
        </w:rPr>
        <w:t>Management believes that EBITDA and Adjusted EBITDA are useful measures of performance as they eliminate non-recurring items and the impact of finance and tax structure variables that exist between entities. “Adjusted EBITDA per share – basic” refers to Adjusted EBITDA divided by the weighted average basic number of shares outstanding during the relevant periods.</w:t>
      </w:r>
    </w:p>
    <w:p w14:paraId="273F9411" w14:textId="77777777" w:rsidR="002D7FD2" w:rsidRDefault="002D7FD2" w:rsidP="00F638B0">
      <w:pPr>
        <w:pStyle w:val="BodyText"/>
        <w:spacing w:before="120"/>
        <w:rPr>
          <w:rFonts w:ascii="Cambria" w:hAnsi="Cambria"/>
          <w:sz w:val="20"/>
        </w:rPr>
      </w:pPr>
      <w:r w:rsidRPr="006F2580">
        <w:rPr>
          <w:rFonts w:ascii="Cambria" w:hAnsi="Cambria"/>
          <w:sz w:val="20"/>
        </w:rPr>
        <w:t>A reconciliation of net income to Adjusted EBITDA is provided below:</w:t>
      </w:r>
    </w:p>
    <w:tbl>
      <w:tblPr>
        <w:tblW w:w="5000" w:type="pct"/>
        <w:tblInd w:w="108" w:type="dxa"/>
        <w:tblBorders>
          <w:top w:val="single" w:sz="4" w:space="0" w:color="auto"/>
          <w:bottom w:val="single" w:sz="4" w:space="0" w:color="auto"/>
        </w:tblBorders>
        <w:tblLook w:val="01E0" w:firstRow="1" w:lastRow="1" w:firstColumn="1" w:lastColumn="1" w:noHBand="0" w:noVBand="0"/>
      </w:tblPr>
      <w:tblGrid>
        <w:gridCol w:w="3843"/>
        <w:gridCol w:w="1651"/>
        <w:gridCol w:w="1532"/>
        <w:gridCol w:w="1526"/>
        <w:gridCol w:w="1528"/>
      </w:tblGrid>
      <w:tr w:rsidR="004707AA" w:rsidRPr="00537A80" w14:paraId="24654BA2" w14:textId="77777777" w:rsidTr="003A3C43">
        <w:tc>
          <w:tcPr>
            <w:tcW w:w="1906" w:type="pct"/>
            <w:tcBorders>
              <w:top w:val="single" w:sz="12" w:space="0" w:color="auto"/>
              <w:bottom w:val="nil"/>
            </w:tcBorders>
            <w:shd w:val="clear" w:color="auto" w:fill="auto"/>
          </w:tcPr>
          <w:p w14:paraId="4D202359" w14:textId="77777777" w:rsidR="004707AA" w:rsidRPr="0047616E" w:rsidRDefault="004707AA" w:rsidP="003A3C43">
            <w:pPr>
              <w:pStyle w:val="BodyText"/>
              <w:spacing w:before="120"/>
              <w:rPr>
                <w:rFonts w:ascii="Cambria" w:hAnsi="Cambria"/>
                <w:b/>
                <w:sz w:val="18"/>
                <w:szCs w:val="18"/>
              </w:rPr>
            </w:pPr>
          </w:p>
        </w:tc>
        <w:tc>
          <w:tcPr>
            <w:tcW w:w="1579" w:type="pct"/>
            <w:gridSpan w:val="2"/>
            <w:tcBorders>
              <w:top w:val="single" w:sz="12" w:space="0" w:color="auto"/>
              <w:bottom w:val="nil"/>
            </w:tcBorders>
          </w:tcPr>
          <w:p w14:paraId="64F8D8A2"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 xml:space="preserve">Three months ended </w:t>
            </w:r>
            <w:r w:rsidRPr="003A3C43">
              <w:rPr>
                <w:rFonts w:ascii="Cambria" w:hAnsi="Cambria"/>
                <w:b/>
                <w:sz w:val="18"/>
                <w:szCs w:val="18"/>
              </w:rPr>
              <w:t>Sept</w:t>
            </w:r>
            <w:r w:rsidRPr="00537A80">
              <w:rPr>
                <w:rFonts w:ascii="Cambria" w:hAnsi="Cambria"/>
                <w:b/>
                <w:sz w:val="18"/>
                <w:szCs w:val="18"/>
              </w:rPr>
              <w:t xml:space="preserve"> 30</w:t>
            </w:r>
          </w:p>
        </w:tc>
        <w:tc>
          <w:tcPr>
            <w:tcW w:w="1515" w:type="pct"/>
            <w:gridSpan w:val="2"/>
            <w:tcBorders>
              <w:top w:val="single" w:sz="12" w:space="0" w:color="auto"/>
              <w:bottom w:val="nil"/>
            </w:tcBorders>
          </w:tcPr>
          <w:p w14:paraId="399BADBF"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Nine months ended Sept 30</w:t>
            </w:r>
          </w:p>
        </w:tc>
      </w:tr>
      <w:tr w:rsidR="004707AA" w:rsidRPr="00537A80" w14:paraId="2D872252" w14:textId="77777777" w:rsidTr="004707AA">
        <w:tc>
          <w:tcPr>
            <w:tcW w:w="1906" w:type="pct"/>
            <w:tcBorders>
              <w:top w:val="nil"/>
              <w:bottom w:val="single" w:sz="4" w:space="0" w:color="auto"/>
            </w:tcBorders>
            <w:shd w:val="clear" w:color="auto" w:fill="auto"/>
          </w:tcPr>
          <w:p w14:paraId="5D13581F" w14:textId="77777777" w:rsidR="004707AA" w:rsidRPr="00537A80" w:rsidRDefault="004707AA" w:rsidP="003A3C43">
            <w:pPr>
              <w:pStyle w:val="BodyText"/>
              <w:rPr>
                <w:rFonts w:ascii="Cambria" w:hAnsi="Cambria"/>
                <w:b/>
                <w:sz w:val="18"/>
                <w:szCs w:val="18"/>
              </w:rPr>
            </w:pPr>
            <w:r w:rsidRPr="00537A80">
              <w:rPr>
                <w:rFonts w:ascii="Cambria" w:hAnsi="Cambria"/>
                <w:b/>
                <w:sz w:val="18"/>
                <w:szCs w:val="18"/>
              </w:rPr>
              <w:t>(in $,000s)</w:t>
            </w:r>
          </w:p>
        </w:tc>
        <w:tc>
          <w:tcPr>
            <w:tcW w:w="819" w:type="pct"/>
            <w:tcBorders>
              <w:top w:val="nil"/>
              <w:bottom w:val="single" w:sz="4" w:space="0" w:color="auto"/>
            </w:tcBorders>
          </w:tcPr>
          <w:p w14:paraId="4A288809"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2019</w:t>
            </w:r>
          </w:p>
        </w:tc>
        <w:tc>
          <w:tcPr>
            <w:tcW w:w="760" w:type="pct"/>
            <w:tcBorders>
              <w:top w:val="nil"/>
              <w:bottom w:val="single" w:sz="4" w:space="0" w:color="auto"/>
            </w:tcBorders>
          </w:tcPr>
          <w:p w14:paraId="0FF794E5"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2018</w:t>
            </w:r>
          </w:p>
        </w:tc>
        <w:tc>
          <w:tcPr>
            <w:tcW w:w="757" w:type="pct"/>
            <w:tcBorders>
              <w:top w:val="nil"/>
              <w:bottom w:val="single" w:sz="4" w:space="0" w:color="auto"/>
            </w:tcBorders>
          </w:tcPr>
          <w:p w14:paraId="2817BD94"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2019</w:t>
            </w:r>
          </w:p>
        </w:tc>
        <w:tc>
          <w:tcPr>
            <w:tcW w:w="758" w:type="pct"/>
            <w:tcBorders>
              <w:top w:val="nil"/>
              <w:bottom w:val="single" w:sz="4" w:space="0" w:color="auto"/>
            </w:tcBorders>
          </w:tcPr>
          <w:p w14:paraId="31D0ACEF"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2018</w:t>
            </w:r>
          </w:p>
        </w:tc>
      </w:tr>
      <w:tr w:rsidR="004707AA" w:rsidRPr="00537A80" w14:paraId="190E65E4" w14:textId="77777777" w:rsidTr="004707AA">
        <w:tc>
          <w:tcPr>
            <w:tcW w:w="1906" w:type="pct"/>
            <w:vAlign w:val="bottom"/>
          </w:tcPr>
          <w:p w14:paraId="343C60EE" w14:textId="77777777" w:rsidR="004707AA" w:rsidRPr="00537A80" w:rsidRDefault="004707AA" w:rsidP="003A3C43">
            <w:pPr>
              <w:pStyle w:val="BodyText"/>
              <w:spacing w:before="120"/>
              <w:jc w:val="left"/>
              <w:rPr>
                <w:rFonts w:ascii="Cambria" w:hAnsi="Cambria"/>
                <w:b/>
                <w:sz w:val="18"/>
                <w:szCs w:val="18"/>
              </w:rPr>
            </w:pPr>
            <w:r w:rsidRPr="00537A80">
              <w:rPr>
                <w:rFonts w:ascii="Cambria" w:hAnsi="Cambria"/>
                <w:b/>
                <w:sz w:val="18"/>
                <w:szCs w:val="18"/>
              </w:rPr>
              <w:t>Net (loss) income</w:t>
            </w:r>
          </w:p>
        </w:tc>
        <w:tc>
          <w:tcPr>
            <w:tcW w:w="819" w:type="pct"/>
            <w:vAlign w:val="bottom"/>
          </w:tcPr>
          <w:p w14:paraId="0B5F6CB2"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(1,6</w:t>
            </w:r>
            <w:r>
              <w:rPr>
                <w:rFonts w:ascii="Cambria" w:hAnsi="Cambria"/>
                <w:sz w:val="18"/>
                <w:szCs w:val="18"/>
              </w:rPr>
              <w:t>17</w:t>
            </w:r>
            <w:r w:rsidRPr="00537A80">
              <w:rPr>
                <w:rFonts w:ascii="Cambria" w:hAnsi="Cambria"/>
                <w:sz w:val="18"/>
                <w:szCs w:val="18"/>
              </w:rPr>
              <w:t>)</w:t>
            </w:r>
          </w:p>
        </w:tc>
        <w:tc>
          <w:tcPr>
            <w:tcW w:w="760" w:type="pct"/>
            <w:vAlign w:val="bottom"/>
          </w:tcPr>
          <w:p w14:paraId="66D9A128"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(1,608)</w:t>
            </w:r>
          </w:p>
        </w:tc>
        <w:tc>
          <w:tcPr>
            <w:tcW w:w="757" w:type="pct"/>
            <w:vAlign w:val="bottom"/>
          </w:tcPr>
          <w:p w14:paraId="46087A16"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(4,105)</w:t>
            </w:r>
          </w:p>
        </w:tc>
        <w:tc>
          <w:tcPr>
            <w:tcW w:w="758" w:type="pct"/>
            <w:vAlign w:val="bottom"/>
          </w:tcPr>
          <w:p w14:paraId="4E406FD0"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(4,984)</w:t>
            </w:r>
          </w:p>
        </w:tc>
      </w:tr>
      <w:tr w:rsidR="004707AA" w:rsidRPr="00537A80" w14:paraId="52277641" w14:textId="77777777" w:rsidTr="004707AA">
        <w:trPr>
          <w:trHeight w:val="117"/>
        </w:trPr>
        <w:tc>
          <w:tcPr>
            <w:tcW w:w="1906" w:type="pct"/>
            <w:tcBorders>
              <w:bottom w:val="nil"/>
            </w:tcBorders>
            <w:shd w:val="clear" w:color="auto" w:fill="auto"/>
            <w:vAlign w:val="bottom"/>
          </w:tcPr>
          <w:p w14:paraId="5867A1CF" w14:textId="77777777" w:rsidR="004707AA" w:rsidRPr="00537A80" w:rsidRDefault="004707AA" w:rsidP="003A3C43">
            <w:pPr>
              <w:pStyle w:val="BodyText"/>
              <w:spacing w:before="120"/>
              <w:jc w:val="left"/>
              <w:rPr>
                <w:rFonts w:ascii="Cambria" w:hAnsi="Cambria"/>
                <w:sz w:val="18"/>
                <w:szCs w:val="18"/>
              </w:rPr>
            </w:pPr>
            <w:r w:rsidRPr="00537A80">
              <w:rPr>
                <w:rFonts w:ascii="Cambria" w:hAnsi="Cambria"/>
                <w:sz w:val="18"/>
                <w:szCs w:val="18"/>
              </w:rPr>
              <w:t>Add:</w:t>
            </w:r>
          </w:p>
        </w:tc>
        <w:tc>
          <w:tcPr>
            <w:tcW w:w="819" w:type="pct"/>
            <w:tcBorders>
              <w:bottom w:val="nil"/>
            </w:tcBorders>
            <w:vAlign w:val="bottom"/>
          </w:tcPr>
          <w:p w14:paraId="1AB77511" w14:textId="77777777" w:rsidR="004707AA" w:rsidRPr="00537A80" w:rsidRDefault="004707AA" w:rsidP="003A3C43">
            <w:pPr>
              <w:pStyle w:val="BodyText"/>
              <w:spacing w:before="120"/>
              <w:jc w:val="right"/>
              <w:rPr>
                <w:rFonts w:ascii="Cambria" w:hAnsi="Cambria"/>
                <w:b/>
                <w:sz w:val="18"/>
                <w:szCs w:val="18"/>
              </w:rPr>
            </w:pPr>
          </w:p>
        </w:tc>
        <w:tc>
          <w:tcPr>
            <w:tcW w:w="760" w:type="pct"/>
            <w:tcBorders>
              <w:bottom w:val="nil"/>
            </w:tcBorders>
            <w:vAlign w:val="bottom"/>
          </w:tcPr>
          <w:p w14:paraId="0B12D21D" w14:textId="77777777" w:rsidR="004707AA" w:rsidRPr="00537A80" w:rsidRDefault="004707AA" w:rsidP="003A3C43">
            <w:pPr>
              <w:pStyle w:val="BodyText"/>
              <w:spacing w:before="120"/>
              <w:jc w:val="right"/>
              <w:rPr>
                <w:rFonts w:ascii="Cambria" w:hAnsi="Cambria"/>
                <w:b/>
                <w:sz w:val="18"/>
                <w:szCs w:val="18"/>
              </w:rPr>
            </w:pPr>
          </w:p>
        </w:tc>
        <w:tc>
          <w:tcPr>
            <w:tcW w:w="757" w:type="pct"/>
            <w:tcBorders>
              <w:bottom w:val="nil"/>
            </w:tcBorders>
            <w:vAlign w:val="bottom"/>
          </w:tcPr>
          <w:p w14:paraId="6C135A34" w14:textId="77777777" w:rsidR="004707AA" w:rsidRPr="00537A80" w:rsidRDefault="004707AA" w:rsidP="003A3C43">
            <w:pPr>
              <w:pStyle w:val="BodyText"/>
              <w:spacing w:before="120"/>
              <w:jc w:val="right"/>
              <w:rPr>
                <w:rFonts w:ascii="Cambria" w:hAnsi="Cambria"/>
                <w:b/>
                <w:sz w:val="18"/>
                <w:szCs w:val="18"/>
              </w:rPr>
            </w:pPr>
          </w:p>
        </w:tc>
        <w:tc>
          <w:tcPr>
            <w:tcW w:w="758" w:type="pct"/>
            <w:tcBorders>
              <w:bottom w:val="nil"/>
            </w:tcBorders>
            <w:vAlign w:val="bottom"/>
          </w:tcPr>
          <w:p w14:paraId="3D787B85" w14:textId="77777777" w:rsidR="004707AA" w:rsidRPr="00537A80" w:rsidRDefault="004707AA" w:rsidP="003A3C43">
            <w:pPr>
              <w:pStyle w:val="BodyText"/>
              <w:spacing w:before="120"/>
              <w:jc w:val="right"/>
              <w:rPr>
                <w:rFonts w:ascii="Cambria" w:hAnsi="Cambria"/>
                <w:b/>
                <w:sz w:val="18"/>
                <w:szCs w:val="18"/>
              </w:rPr>
            </w:pPr>
          </w:p>
        </w:tc>
      </w:tr>
      <w:tr w:rsidR="004707AA" w:rsidRPr="00537A80" w14:paraId="454D2973" w14:textId="77777777" w:rsidTr="004707AA">
        <w:trPr>
          <w:trHeight w:val="171"/>
        </w:trPr>
        <w:tc>
          <w:tcPr>
            <w:tcW w:w="1906" w:type="pct"/>
            <w:tcBorders>
              <w:top w:val="nil"/>
              <w:bottom w:val="nil"/>
            </w:tcBorders>
            <w:vAlign w:val="bottom"/>
          </w:tcPr>
          <w:p w14:paraId="4EF08CC1"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Finance costs</w:t>
            </w:r>
          </w:p>
        </w:tc>
        <w:tc>
          <w:tcPr>
            <w:tcW w:w="819" w:type="pct"/>
            <w:tcBorders>
              <w:top w:val="nil"/>
              <w:bottom w:val="nil"/>
            </w:tcBorders>
            <w:vAlign w:val="bottom"/>
          </w:tcPr>
          <w:p w14:paraId="7D54AC97"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989</w:t>
            </w:r>
          </w:p>
        </w:tc>
        <w:tc>
          <w:tcPr>
            <w:tcW w:w="760" w:type="pct"/>
            <w:tcBorders>
              <w:top w:val="nil"/>
              <w:bottom w:val="nil"/>
            </w:tcBorders>
            <w:vAlign w:val="bottom"/>
          </w:tcPr>
          <w:p w14:paraId="346E0CF3"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944</w:t>
            </w:r>
          </w:p>
        </w:tc>
        <w:tc>
          <w:tcPr>
            <w:tcW w:w="757" w:type="pct"/>
            <w:tcBorders>
              <w:top w:val="nil"/>
              <w:bottom w:val="nil"/>
            </w:tcBorders>
            <w:vAlign w:val="bottom"/>
          </w:tcPr>
          <w:p w14:paraId="7CF395EC"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3,096</w:t>
            </w:r>
          </w:p>
        </w:tc>
        <w:tc>
          <w:tcPr>
            <w:tcW w:w="758" w:type="pct"/>
            <w:tcBorders>
              <w:top w:val="nil"/>
              <w:bottom w:val="nil"/>
            </w:tcBorders>
            <w:vAlign w:val="bottom"/>
          </w:tcPr>
          <w:p w14:paraId="27CB8229"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2,706</w:t>
            </w:r>
          </w:p>
        </w:tc>
      </w:tr>
      <w:tr w:rsidR="004707AA" w:rsidRPr="00537A80" w14:paraId="639C12F7" w14:textId="77777777" w:rsidTr="004707AA">
        <w:tc>
          <w:tcPr>
            <w:tcW w:w="1906" w:type="pct"/>
            <w:tcBorders>
              <w:top w:val="nil"/>
            </w:tcBorders>
            <w:vAlign w:val="bottom"/>
          </w:tcPr>
          <w:p w14:paraId="3C3BF05A"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Depreciation</w:t>
            </w:r>
          </w:p>
        </w:tc>
        <w:tc>
          <w:tcPr>
            <w:tcW w:w="819" w:type="pct"/>
            <w:tcBorders>
              <w:top w:val="nil"/>
            </w:tcBorders>
            <w:vAlign w:val="bottom"/>
          </w:tcPr>
          <w:p w14:paraId="628082C9"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1,684</w:t>
            </w:r>
          </w:p>
        </w:tc>
        <w:tc>
          <w:tcPr>
            <w:tcW w:w="760" w:type="pct"/>
            <w:tcBorders>
              <w:top w:val="nil"/>
            </w:tcBorders>
            <w:vAlign w:val="bottom"/>
          </w:tcPr>
          <w:p w14:paraId="77264DE8"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1,484</w:t>
            </w:r>
          </w:p>
        </w:tc>
        <w:tc>
          <w:tcPr>
            <w:tcW w:w="757" w:type="pct"/>
            <w:tcBorders>
              <w:top w:val="nil"/>
            </w:tcBorders>
            <w:vAlign w:val="bottom"/>
          </w:tcPr>
          <w:p w14:paraId="1387A4E9" w14:textId="77777777" w:rsidR="004707AA" w:rsidRPr="00537A80" w:rsidRDefault="004707AA" w:rsidP="003A3C43">
            <w:pPr>
              <w:pStyle w:val="BodyText"/>
              <w:jc w:val="right"/>
              <w:rPr>
                <w:rFonts w:ascii="Cambria" w:hAnsi="Cambria"/>
                <w:sz w:val="18"/>
                <w:szCs w:val="18"/>
              </w:rPr>
            </w:pPr>
            <w:r w:rsidRPr="003A3C43">
              <w:rPr>
                <w:rFonts w:ascii="Cambria" w:hAnsi="Cambria"/>
                <w:sz w:val="18"/>
                <w:szCs w:val="18"/>
              </w:rPr>
              <w:t>5</w:t>
            </w:r>
            <w:r w:rsidRPr="00537A80">
              <w:rPr>
                <w:rFonts w:ascii="Cambria" w:hAnsi="Cambria"/>
                <w:sz w:val="18"/>
                <w:szCs w:val="18"/>
              </w:rPr>
              <w:t>,211</w:t>
            </w:r>
          </w:p>
        </w:tc>
        <w:tc>
          <w:tcPr>
            <w:tcW w:w="758" w:type="pct"/>
            <w:tcBorders>
              <w:top w:val="nil"/>
            </w:tcBorders>
            <w:vAlign w:val="bottom"/>
          </w:tcPr>
          <w:p w14:paraId="55CE3A36"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4,346</w:t>
            </w:r>
          </w:p>
        </w:tc>
      </w:tr>
      <w:tr w:rsidR="004707AA" w:rsidRPr="00537A80" w14:paraId="366ECEA5" w14:textId="77777777" w:rsidTr="004707AA">
        <w:tc>
          <w:tcPr>
            <w:tcW w:w="1906" w:type="pct"/>
            <w:vAlign w:val="bottom"/>
          </w:tcPr>
          <w:p w14:paraId="75907667"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Amortization of intangibles</w:t>
            </w:r>
          </w:p>
        </w:tc>
        <w:tc>
          <w:tcPr>
            <w:tcW w:w="819" w:type="pct"/>
            <w:vAlign w:val="bottom"/>
          </w:tcPr>
          <w:p w14:paraId="421B441B"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110</w:t>
            </w:r>
          </w:p>
        </w:tc>
        <w:tc>
          <w:tcPr>
            <w:tcW w:w="760" w:type="pct"/>
            <w:vAlign w:val="bottom"/>
          </w:tcPr>
          <w:p w14:paraId="2B108EDC"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165</w:t>
            </w:r>
          </w:p>
        </w:tc>
        <w:tc>
          <w:tcPr>
            <w:tcW w:w="757" w:type="pct"/>
            <w:vAlign w:val="bottom"/>
          </w:tcPr>
          <w:p w14:paraId="3545599A"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440</w:t>
            </w:r>
          </w:p>
        </w:tc>
        <w:tc>
          <w:tcPr>
            <w:tcW w:w="758" w:type="pct"/>
            <w:vAlign w:val="bottom"/>
          </w:tcPr>
          <w:p w14:paraId="408B2DF4"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495</w:t>
            </w:r>
          </w:p>
        </w:tc>
      </w:tr>
      <w:tr w:rsidR="004707AA" w:rsidRPr="00537A80" w14:paraId="3172E646" w14:textId="77777777" w:rsidTr="004707AA">
        <w:tc>
          <w:tcPr>
            <w:tcW w:w="1906" w:type="pct"/>
            <w:tcBorders>
              <w:bottom w:val="nil"/>
            </w:tcBorders>
            <w:shd w:val="clear" w:color="auto" w:fill="auto"/>
            <w:vAlign w:val="bottom"/>
          </w:tcPr>
          <w:p w14:paraId="53FA6416"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Income taxes</w:t>
            </w:r>
          </w:p>
        </w:tc>
        <w:tc>
          <w:tcPr>
            <w:tcW w:w="819" w:type="pct"/>
            <w:tcBorders>
              <w:bottom w:val="nil"/>
            </w:tcBorders>
            <w:vAlign w:val="bottom"/>
          </w:tcPr>
          <w:p w14:paraId="47DE7928"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(18)</w:t>
            </w:r>
          </w:p>
        </w:tc>
        <w:tc>
          <w:tcPr>
            <w:tcW w:w="760" w:type="pct"/>
            <w:tcBorders>
              <w:bottom w:val="nil"/>
            </w:tcBorders>
            <w:vAlign w:val="bottom"/>
          </w:tcPr>
          <w:p w14:paraId="3CDAD337"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(28)</w:t>
            </w:r>
          </w:p>
        </w:tc>
        <w:tc>
          <w:tcPr>
            <w:tcW w:w="757" w:type="pct"/>
            <w:tcBorders>
              <w:bottom w:val="nil"/>
            </w:tcBorders>
            <w:vAlign w:val="bottom"/>
          </w:tcPr>
          <w:p w14:paraId="31E5BD19"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(56)</w:t>
            </w:r>
          </w:p>
        </w:tc>
        <w:tc>
          <w:tcPr>
            <w:tcW w:w="758" w:type="pct"/>
            <w:tcBorders>
              <w:bottom w:val="nil"/>
            </w:tcBorders>
            <w:vAlign w:val="bottom"/>
          </w:tcPr>
          <w:p w14:paraId="559432EF"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(43)</w:t>
            </w:r>
          </w:p>
        </w:tc>
      </w:tr>
      <w:tr w:rsidR="004707AA" w:rsidRPr="00537A80" w14:paraId="3D325125" w14:textId="77777777" w:rsidTr="004707AA">
        <w:tc>
          <w:tcPr>
            <w:tcW w:w="1906" w:type="pct"/>
            <w:tcBorders>
              <w:top w:val="single" w:sz="4" w:space="0" w:color="auto"/>
              <w:bottom w:val="single" w:sz="4" w:space="0" w:color="auto"/>
            </w:tcBorders>
            <w:shd w:val="clear" w:color="auto" w:fill="auto"/>
            <w:vAlign w:val="bottom"/>
          </w:tcPr>
          <w:p w14:paraId="1FF8D10A" w14:textId="77777777" w:rsidR="004707AA" w:rsidRPr="00537A80" w:rsidRDefault="004707AA" w:rsidP="003A3C43">
            <w:pPr>
              <w:pStyle w:val="BodyText"/>
              <w:spacing w:before="120"/>
              <w:jc w:val="left"/>
              <w:rPr>
                <w:rFonts w:ascii="Cambria" w:hAnsi="Cambria"/>
                <w:b/>
                <w:sz w:val="18"/>
                <w:szCs w:val="18"/>
              </w:rPr>
            </w:pPr>
            <w:r w:rsidRPr="00537A80">
              <w:rPr>
                <w:rFonts w:ascii="Cambria" w:hAnsi="Cambria"/>
                <w:b/>
                <w:sz w:val="18"/>
                <w:szCs w:val="18"/>
              </w:rPr>
              <w:t>EBITDA</w:t>
            </w:r>
          </w:p>
        </w:tc>
        <w:tc>
          <w:tcPr>
            <w:tcW w:w="819" w:type="pct"/>
            <w:tcBorders>
              <w:top w:val="single" w:sz="4" w:space="0" w:color="auto"/>
              <w:bottom w:val="single" w:sz="4" w:space="0" w:color="auto"/>
            </w:tcBorders>
            <w:vAlign w:val="bottom"/>
          </w:tcPr>
          <w:p w14:paraId="27783CA8" w14:textId="77777777" w:rsidR="004707AA" w:rsidRPr="00537A80" w:rsidRDefault="004707AA" w:rsidP="003A3C43">
            <w:pPr>
              <w:pStyle w:val="BodyText"/>
              <w:spacing w:before="120"/>
              <w:jc w:val="right"/>
              <w:rPr>
                <w:rFonts w:ascii="Cambria" w:hAnsi="Cambria"/>
                <w:sz w:val="18"/>
                <w:szCs w:val="18"/>
              </w:rPr>
            </w:pPr>
            <w:r w:rsidRPr="003A3C43">
              <w:rPr>
                <w:rFonts w:ascii="Cambria" w:hAnsi="Cambria"/>
                <w:sz w:val="18"/>
                <w:szCs w:val="18"/>
              </w:rPr>
              <w:t>1,</w:t>
            </w:r>
            <w:r>
              <w:rPr>
                <w:rFonts w:ascii="Cambria" w:hAnsi="Cambria"/>
                <w:sz w:val="18"/>
                <w:szCs w:val="18"/>
              </w:rPr>
              <w:t>148</w:t>
            </w:r>
          </w:p>
        </w:tc>
        <w:tc>
          <w:tcPr>
            <w:tcW w:w="760" w:type="pct"/>
            <w:tcBorders>
              <w:top w:val="single" w:sz="4" w:space="0" w:color="auto"/>
              <w:bottom w:val="single" w:sz="4" w:space="0" w:color="auto"/>
            </w:tcBorders>
            <w:vAlign w:val="bottom"/>
          </w:tcPr>
          <w:p w14:paraId="4ABBD292"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957</w:t>
            </w:r>
          </w:p>
        </w:tc>
        <w:tc>
          <w:tcPr>
            <w:tcW w:w="757" w:type="pct"/>
            <w:tcBorders>
              <w:top w:val="single" w:sz="4" w:space="0" w:color="auto"/>
              <w:bottom w:val="single" w:sz="4" w:space="0" w:color="auto"/>
            </w:tcBorders>
            <w:vAlign w:val="bottom"/>
          </w:tcPr>
          <w:p w14:paraId="228A0734" w14:textId="77777777" w:rsidR="004707AA" w:rsidRPr="00537A80" w:rsidRDefault="004707AA" w:rsidP="003A3C43">
            <w:pPr>
              <w:pStyle w:val="BodyText"/>
              <w:spacing w:before="120"/>
              <w:jc w:val="right"/>
              <w:rPr>
                <w:rFonts w:ascii="Cambria" w:hAnsi="Cambria"/>
                <w:sz w:val="18"/>
                <w:szCs w:val="18"/>
              </w:rPr>
            </w:pPr>
            <w:r w:rsidRPr="003A3C43">
              <w:rPr>
                <w:rFonts w:ascii="Cambria" w:hAnsi="Cambria"/>
                <w:sz w:val="18"/>
                <w:szCs w:val="18"/>
              </w:rPr>
              <w:t>4</w:t>
            </w:r>
            <w:r w:rsidRPr="00537A80">
              <w:rPr>
                <w:rFonts w:ascii="Cambria" w:hAnsi="Cambria"/>
                <w:sz w:val="18"/>
                <w:szCs w:val="18"/>
              </w:rPr>
              <w:t>,586</w:t>
            </w:r>
          </w:p>
        </w:tc>
        <w:tc>
          <w:tcPr>
            <w:tcW w:w="758" w:type="pct"/>
            <w:tcBorders>
              <w:top w:val="single" w:sz="4" w:space="0" w:color="auto"/>
              <w:bottom w:val="single" w:sz="4" w:space="0" w:color="auto"/>
            </w:tcBorders>
            <w:vAlign w:val="bottom"/>
          </w:tcPr>
          <w:p w14:paraId="24431967"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2,520</w:t>
            </w:r>
          </w:p>
        </w:tc>
      </w:tr>
      <w:tr w:rsidR="004707AA" w:rsidRPr="00537A80" w14:paraId="7F6E81BB" w14:textId="77777777" w:rsidTr="004707AA">
        <w:tc>
          <w:tcPr>
            <w:tcW w:w="1906" w:type="pct"/>
            <w:tcBorders>
              <w:top w:val="single" w:sz="4" w:space="0" w:color="auto"/>
              <w:bottom w:val="nil"/>
            </w:tcBorders>
            <w:shd w:val="clear" w:color="auto" w:fill="auto"/>
            <w:vAlign w:val="bottom"/>
          </w:tcPr>
          <w:p w14:paraId="4E5FD248" w14:textId="77777777" w:rsidR="004707AA" w:rsidRPr="00537A80" w:rsidRDefault="004707AA" w:rsidP="003A3C43">
            <w:pPr>
              <w:pStyle w:val="BodyText"/>
              <w:spacing w:before="120"/>
              <w:jc w:val="left"/>
              <w:rPr>
                <w:rFonts w:ascii="Cambria" w:hAnsi="Cambria"/>
                <w:sz w:val="18"/>
                <w:szCs w:val="18"/>
              </w:rPr>
            </w:pPr>
            <w:r w:rsidRPr="00537A80">
              <w:rPr>
                <w:rFonts w:ascii="Cambria" w:hAnsi="Cambria"/>
                <w:sz w:val="18"/>
                <w:szCs w:val="18"/>
              </w:rPr>
              <w:t>Add:</w:t>
            </w:r>
          </w:p>
        </w:tc>
        <w:tc>
          <w:tcPr>
            <w:tcW w:w="819" w:type="pct"/>
            <w:tcBorders>
              <w:top w:val="single" w:sz="4" w:space="0" w:color="auto"/>
              <w:bottom w:val="nil"/>
            </w:tcBorders>
            <w:vAlign w:val="bottom"/>
          </w:tcPr>
          <w:p w14:paraId="4D12E5D4" w14:textId="77777777" w:rsidR="004707AA" w:rsidRPr="00537A80" w:rsidRDefault="004707AA" w:rsidP="003A3C43">
            <w:pPr>
              <w:pStyle w:val="BodyText"/>
              <w:spacing w:before="120"/>
              <w:jc w:val="right"/>
              <w:rPr>
                <w:rFonts w:ascii="Cambria" w:hAnsi="Cambria"/>
                <w:sz w:val="18"/>
                <w:szCs w:val="18"/>
              </w:rPr>
            </w:pPr>
          </w:p>
        </w:tc>
        <w:tc>
          <w:tcPr>
            <w:tcW w:w="760" w:type="pct"/>
            <w:tcBorders>
              <w:top w:val="single" w:sz="4" w:space="0" w:color="auto"/>
              <w:bottom w:val="nil"/>
            </w:tcBorders>
            <w:vAlign w:val="bottom"/>
          </w:tcPr>
          <w:p w14:paraId="6907CF67" w14:textId="77777777" w:rsidR="004707AA" w:rsidRPr="00537A80" w:rsidRDefault="004707AA" w:rsidP="003A3C43">
            <w:pPr>
              <w:pStyle w:val="BodyText"/>
              <w:spacing w:before="120"/>
              <w:jc w:val="right"/>
              <w:rPr>
                <w:rFonts w:ascii="Cambria" w:hAnsi="Cambria"/>
                <w:sz w:val="18"/>
                <w:szCs w:val="18"/>
              </w:rPr>
            </w:pPr>
          </w:p>
        </w:tc>
        <w:tc>
          <w:tcPr>
            <w:tcW w:w="757" w:type="pct"/>
            <w:tcBorders>
              <w:top w:val="single" w:sz="4" w:space="0" w:color="auto"/>
              <w:bottom w:val="nil"/>
            </w:tcBorders>
            <w:vAlign w:val="bottom"/>
          </w:tcPr>
          <w:p w14:paraId="6BAC9701" w14:textId="77777777" w:rsidR="004707AA" w:rsidRPr="00537A80" w:rsidRDefault="004707AA" w:rsidP="003A3C43">
            <w:pPr>
              <w:pStyle w:val="BodyText"/>
              <w:spacing w:before="120"/>
              <w:jc w:val="right"/>
              <w:rPr>
                <w:rFonts w:ascii="Cambria" w:hAnsi="Cambria"/>
                <w:sz w:val="18"/>
                <w:szCs w:val="18"/>
              </w:rPr>
            </w:pPr>
          </w:p>
        </w:tc>
        <w:tc>
          <w:tcPr>
            <w:tcW w:w="758" w:type="pct"/>
            <w:tcBorders>
              <w:top w:val="single" w:sz="4" w:space="0" w:color="auto"/>
              <w:bottom w:val="nil"/>
            </w:tcBorders>
            <w:vAlign w:val="bottom"/>
          </w:tcPr>
          <w:p w14:paraId="5729F37A" w14:textId="77777777" w:rsidR="004707AA" w:rsidRPr="00537A80" w:rsidRDefault="004707AA" w:rsidP="003A3C43">
            <w:pPr>
              <w:pStyle w:val="BodyText"/>
              <w:spacing w:before="120"/>
              <w:jc w:val="right"/>
              <w:rPr>
                <w:rFonts w:ascii="Cambria" w:hAnsi="Cambria"/>
                <w:sz w:val="18"/>
                <w:szCs w:val="18"/>
              </w:rPr>
            </w:pPr>
          </w:p>
        </w:tc>
      </w:tr>
      <w:tr w:rsidR="004707AA" w:rsidRPr="00537A80" w14:paraId="3DBE526F" w14:textId="77777777" w:rsidTr="004707AA">
        <w:tc>
          <w:tcPr>
            <w:tcW w:w="1906" w:type="pct"/>
            <w:tcBorders>
              <w:top w:val="nil"/>
              <w:bottom w:val="nil"/>
            </w:tcBorders>
            <w:vAlign w:val="bottom"/>
          </w:tcPr>
          <w:p w14:paraId="4D73F126" w14:textId="77777777" w:rsidR="004707AA" w:rsidRPr="00537A80" w:rsidRDefault="004707AA" w:rsidP="003A3C43">
            <w:pPr>
              <w:pStyle w:val="BodyText"/>
              <w:jc w:val="left"/>
              <w:rPr>
                <w:rFonts w:ascii="Cambria" w:hAnsi="Cambria"/>
                <w:sz w:val="18"/>
                <w:szCs w:val="18"/>
              </w:rPr>
            </w:pPr>
            <w:r w:rsidRPr="00537A80">
              <w:rPr>
                <w:rFonts w:ascii="Cambria" w:hAnsi="Cambria"/>
                <w:sz w:val="18"/>
                <w:szCs w:val="18"/>
              </w:rPr>
              <w:t xml:space="preserve">  Stock based compensation</w:t>
            </w:r>
          </w:p>
        </w:tc>
        <w:tc>
          <w:tcPr>
            <w:tcW w:w="819" w:type="pct"/>
            <w:tcBorders>
              <w:top w:val="nil"/>
              <w:bottom w:val="nil"/>
            </w:tcBorders>
            <w:vAlign w:val="bottom"/>
          </w:tcPr>
          <w:p w14:paraId="73F70F5A"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17</w:t>
            </w:r>
          </w:p>
        </w:tc>
        <w:tc>
          <w:tcPr>
            <w:tcW w:w="760" w:type="pct"/>
            <w:tcBorders>
              <w:top w:val="nil"/>
              <w:bottom w:val="nil"/>
            </w:tcBorders>
            <w:vAlign w:val="bottom"/>
          </w:tcPr>
          <w:p w14:paraId="6814D3A6"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18</w:t>
            </w:r>
          </w:p>
        </w:tc>
        <w:tc>
          <w:tcPr>
            <w:tcW w:w="757" w:type="pct"/>
            <w:tcBorders>
              <w:top w:val="nil"/>
              <w:bottom w:val="nil"/>
            </w:tcBorders>
            <w:vAlign w:val="bottom"/>
          </w:tcPr>
          <w:p w14:paraId="02086D23"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64</w:t>
            </w:r>
          </w:p>
        </w:tc>
        <w:tc>
          <w:tcPr>
            <w:tcW w:w="758" w:type="pct"/>
            <w:tcBorders>
              <w:top w:val="nil"/>
              <w:bottom w:val="nil"/>
            </w:tcBorders>
            <w:vAlign w:val="bottom"/>
          </w:tcPr>
          <w:p w14:paraId="184F856D"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37</w:t>
            </w:r>
          </w:p>
        </w:tc>
      </w:tr>
      <w:tr w:rsidR="004707AA" w:rsidRPr="00537A80" w14:paraId="031C5A85" w14:textId="77777777" w:rsidTr="004707AA">
        <w:tc>
          <w:tcPr>
            <w:tcW w:w="1906" w:type="pct"/>
            <w:tcBorders>
              <w:top w:val="nil"/>
              <w:bottom w:val="nil"/>
            </w:tcBorders>
            <w:vAlign w:val="bottom"/>
          </w:tcPr>
          <w:p w14:paraId="496D40C5" w14:textId="77777777" w:rsidR="004707AA" w:rsidRPr="00537A80" w:rsidRDefault="004707AA" w:rsidP="003A3C43">
            <w:pPr>
              <w:pStyle w:val="BodyText"/>
              <w:jc w:val="left"/>
              <w:rPr>
                <w:rFonts w:ascii="Cambria" w:hAnsi="Cambria"/>
                <w:sz w:val="18"/>
                <w:szCs w:val="18"/>
              </w:rPr>
            </w:pPr>
            <w:r w:rsidRPr="00537A80">
              <w:rPr>
                <w:rFonts w:ascii="Cambria" w:hAnsi="Cambria"/>
                <w:sz w:val="18"/>
                <w:szCs w:val="18"/>
              </w:rPr>
              <w:t xml:space="preserve">  Severance costs</w:t>
            </w:r>
          </w:p>
        </w:tc>
        <w:tc>
          <w:tcPr>
            <w:tcW w:w="819" w:type="pct"/>
            <w:tcBorders>
              <w:top w:val="nil"/>
              <w:bottom w:val="nil"/>
            </w:tcBorders>
            <w:vAlign w:val="bottom"/>
          </w:tcPr>
          <w:p w14:paraId="7F5A943D"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10</w:t>
            </w:r>
          </w:p>
        </w:tc>
        <w:tc>
          <w:tcPr>
            <w:tcW w:w="760" w:type="pct"/>
            <w:tcBorders>
              <w:top w:val="nil"/>
              <w:bottom w:val="nil"/>
            </w:tcBorders>
            <w:vAlign w:val="bottom"/>
          </w:tcPr>
          <w:p w14:paraId="50F5DDB9"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36</w:t>
            </w:r>
          </w:p>
        </w:tc>
        <w:tc>
          <w:tcPr>
            <w:tcW w:w="757" w:type="pct"/>
            <w:tcBorders>
              <w:top w:val="nil"/>
              <w:bottom w:val="nil"/>
            </w:tcBorders>
            <w:vAlign w:val="bottom"/>
          </w:tcPr>
          <w:p w14:paraId="0347DBE6"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14</w:t>
            </w:r>
          </w:p>
        </w:tc>
        <w:tc>
          <w:tcPr>
            <w:tcW w:w="758" w:type="pct"/>
            <w:tcBorders>
              <w:top w:val="nil"/>
              <w:bottom w:val="nil"/>
            </w:tcBorders>
            <w:vAlign w:val="bottom"/>
          </w:tcPr>
          <w:p w14:paraId="76CBCA49"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98</w:t>
            </w:r>
          </w:p>
        </w:tc>
      </w:tr>
      <w:tr w:rsidR="004707AA" w:rsidRPr="00537A80" w14:paraId="2DD0F6D9" w14:textId="77777777" w:rsidTr="004707AA">
        <w:tc>
          <w:tcPr>
            <w:tcW w:w="1906" w:type="pct"/>
            <w:tcBorders>
              <w:top w:val="nil"/>
              <w:bottom w:val="nil"/>
            </w:tcBorders>
            <w:vAlign w:val="bottom"/>
          </w:tcPr>
          <w:p w14:paraId="71C95E6E" w14:textId="77777777" w:rsidR="004707AA" w:rsidRPr="00537A80" w:rsidRDefault="004707AA" w:rsidP="003A3C43">
            <w:pPr>
              <w:pStyle w:val="BodyText"/>
              <w:jc w:val="left"/>
              <w:rPr>
                <w:rFonts w:ascii="Cambria" w:hAnsi="Cambria"/>
                <w:sz w:val="18"/>
                <w:szCs w:val="18"/>
              </w:rPr>
            </w:pPr>
            <w:r w:rsidRPr="00537A80">
              <w:rPr>
                <w:rFonts w:ascii="Cambria" w:hAnsi="Cambria"/>
                <w:sz w:val="18"/>
                <w:szCs w:val="18"/>
              </w:rPr>
              <w:t xml:space="preserve">  Loss on sale of equipment</w:t>
            </w:r>
          </w:p>
        </w:tc>
        <w:tc>
          <w:tcPr>
            <w:tcW w:w="819" w:type="pct"/>
            <w:tcBorders>
              <w:top w:val="nil"/>
              <w:bottom w:val="nil"/>
            </w:tcBorders>
            <w:vAlign w:val="bottom"/>
          </w:tcPr>
          <w:p w14:paraId="5538920E"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334</w:t>
            </w:r>
          </w:p>
        </w:tc>
        <w:tc>
          <w:tcPr>
            <w:tcW w:w="760" w:type="pct"/>
            <w:tcBorders>
              <w:top w:val="nil"/>
              <w:bottom w:val="nil"/>
            </w:tcBorders>
            <w:vAlign w:val="bottom"/>
          </w:tcPr>
          <w:p w14:paraId="764809CF"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101</w:t>
            </w:r>
          </w:p>
        </w:tc>
        <w:tc>
          <w:tcPr>
            <w:tcW w:w="757" w:type="pct"/>
            <w:tcBorders>
              <w:top w:val="nil"/>
              <w:bottom w:val="nil"/>
            </w:tcBorders>
            <w:vAlign w:val="bottom"/>
          </w:tcPr>
          <w:p w14:paraId="44AD4B87"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867</w:t>
            </w:r>
          </w:p>
        </w:tc>
        <w:tc>
          <w:tcPr>
            <w:tcW w:w="758" w:type="pct"/>
            <w:tcBorders>
              <w:top w:val="nil"/>
              <w:bottom w:val="nil"/>
            </w:tcBorders>
            <w:vAlign w:val="bottom"/>
          </w:tcPr>
          <w:p w14:paraId="4737414D"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594</w:t>
            </w:r>
          </w:p>
        </w:tc>
      </w:tr>
      <w:tr w:rsidR="004707AA" w:rsidRPr="00537A80" w14:paraId="1E73B1E9" w14:textId="77777777" w:rsidTr="004707AA">
        <w:trPr>
          <w:trHeight w:val="350"/>
        </w:trPr>
        <w:tc>
          <w:tcPr>
            <w:tcW w:w="1906" w:type="pct"/>
            <w:tcBorders>
              <w:top w:val="single" w:sz="4" w:space="0" w:color="auto"/>
              <w:bottom w:val="single" w:sz="12" w:space="0" w:color="auto"/>
            </w:tcBorders>
            <w:shd w:val="clear" w:color="auto" w:fill="auto"/>
            <w:vAlign w:val="bottom"/>
          </w:tcPr>
          <w:p w14:paraId="449AAE6F" w14:textId="77777777" w:rsidR="004707AA" w:rsidRPr="00537A80" w:rsidRDefault="004707AA" w:rsidP="003A3C43">
            <w:pPr>
              <w:pStyle w:val="BodyText"/>
              <w:spacing w:before="120"/>
              <w:jc w:val="left"/>
              <w:rPr>
                <w:rFonts w:ascii="Cambria" w:hAnsi="Cambria"/>
                <w:b/>
                <w:sz w:val="18"/>
                <w:szCs w:val="18"/>
              </w:rPr>
            </w:pPr>
            <w:r w:rsidRPr="00537A80">
              <w:rPr>
                <w:rFonts w:ascii="Cambria" w:hAnsi="Cambria"/>
                <w:b/>
                <w:sz w:val="18"/>
                <w:szCs w:val="18"/>
              </w:rPr>
              <w:t>Adjusted EBITDA</w:t>
            </w:r>
          </w:p>
        </w:tc>
        <w:tc>
          <w:tcPr>
            <w:tcW w:w="819" w:type="pct"/>
            <w:tcBorders>
              <w:top w:val="single" w:sz="4" w:space="0" w:color="auto"/>
              <w:bottom w:val="single" w:sz="12" w:space="0" w:color="auto"/>
            </w:tcBorders>
            <w:vAlign w:val="bottom"/>
          </w:tcPr>
          <w:p w14:paraId="7D22BCBA"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w:t>
            </w:r>
            <w:r>
              <w:rPr>
                <w:rFonts w:ascii="Cambria" w:hAnsi="Cambria"/>
                <w:sz w:val="18"/>
                <w:szCs w:val="18"/>
              </w:rPr>
              <w:t>509</w:t>
            </w:r>
          </w:p>
        </w:tc>
        <w:tc>
          <w:tcPr>
            <w:tcW w:w="760" w:type="pct"/>
            <w:tcBorders>
              <w:top w:val="single" w:sz="4" w:space="0" w:color="auto"/>
              <w:bottom w:val="single" w:sz="12" w:space="0" w:color="auto"/>
            </w:tcBorders>
            <w:vAlign w:val="bottom"/>
          </w:tcPr>
          <w:p w14:paraId="38AF14B2"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1,112</w:t>
            </w:r>
          </w:p>
        </w:tc>
        <w:tc>
          <w:tcPr>
            <w:tcW w:w="757" w:type="pct"/>
            <w:tcBorders>
              <w:top w:val="single" w:sz="4" w:space="0" w:color="auto"/>
              <w:bottom w:val="single" w:sz="12" w:space="0" w:color="auto"/>
            </w:tcBorders>
            <w:vAlign w:val="bottom"/>
          </w:tcPr>
          <w:p w14:paraId="2FB9C483" w14:textId="77777777" w:rsidR="004707AA" w:rsidRPr="00537A80" w:rsidRDefault="004707AA" w:rsidP="003A3C43">
            <w:pPr>
              <w:pStyle w:val="BodyText"/>
              <w:spacing w:before="120"/>
              <w:jc w:val="right"/>
              <w:rPr>
                <w:rFonts w:ascii="Cambria" w:hAnsi="Cambria"/>
                <w:sz w:val="18"/>
                <w:szCs w:val="18"/>
              </w:rPr>
            </w:pPr>
            <w:r w:rsidRPr="003A3C43">
              <w:rPr>
                <w:rFonts w:ascii="Cambria" w:hAnsi="Cambria"/>
                <w:sz w:val="18"/>
                <w:szCs w:val="18"/>
              </w:rPr>
              <w:t>5</w:t>
            </w:r>
            <w:r w:rsidRPr="00537A80">
              <w:rPr>
                <w:rFonts w:ascii="Cambria" w:hAnsi="Cambria"/>
                <w:sz w:val="18"/>
                <w:szCs w:val="18"/>
              </w:rPr>
              <w:t>,531</w:t>
            </w:r>
          </w:p>
        </w:tc>
        <w:tc>
          <w:tcPr>
            <w:tcW w:w="758" w:type="pct"/>
            <w:tcBorders>
              <w:top w:val="single" w:sz="4" w:space="0" w:color="auto"/>
              <w:bottom w:val="single" w:sz="12" w:space="0" w:color="auto"/>
            </w:tcBorders>
            <w:vAlign w:val="bottom"/>
          </w:tcPr>
          <w:p w14:paraId="04B492E3"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3,249</w:t>
            </w:r>
          </w:p>
        </w:tc>
      </w:tr>
    </w:tbl>
    <w:p w14:paraId="577CE7E6" w14:textId="77777777" w:rsidR="004707AA" w:rsidRPr="003A3C43" w:rsidRDefault="004707AA" w:rsidP="004707AA">
      <w:pPr>
        <w:pStyle w:val="BodyText"/>
        <w:spacing w:before="120"/>
        <w:ind w:left="142"/>
        <w:rPr>
          <w:rFonts w:ascii="Cambria" w:hAnsi="Cambria"/>
          <w:sz w:val="20"/>
        </w:rPr>
      </w:pPr>
      <w:r w:rsidRPr="003A3C43">
        <w:rPr>
          <w:rFonts w:ascii="Cambria" w:hAnsi="Cambria"/>
          <w:sz w:val="20"/>
        </w:rPr>
        <w:t xml:space="preserve">Included in Adjusted EBITDA for the three </w:t>
      </w:r>
      <w:r w:rsidRPr="00537A80">
        <w:rPr>
          <w:rFonts w:ascii="Cambria" w:hAnsi="Cambria"/>
          <w:sz w:val="20"/>
        </w:rPr>
        <w:t xml:space="preserve">and nine </w:t>
      </w:r>
      <w:r w:rsidRPr="003A3C43">
        <w:rPr>
          <w:rFonts w:ascii="Cambria" w:hAnsi="Cambria"/>
          <w:sz w:val="20"/>
        </w:rPr>
        <w:t>months ended</w:t>
      </w:r>
      <w:r w:rsidRPr="00537A80">
        <w:rPr>
          <w:rFonts w:ascii="Cambria" w:hAnsi="Cambria"/>
          <w:sz w:val="20"/>
        </w:rPr>
        <w:t xml:space="preserve"> September</w:t>
      </w:r>
      <w:r w:rsidRPr="003A3C43">
        <w:rPr>
          <w:rFonts w:ascii="Cambria" w:hAnsi="Cambria"/>
          <w:sz w:val="20"/>
        </w:rPr>
        <w:t xml:space="preserve"> 3</w:t>
      </w:r>
      <w:r w:rsidRPr="00537A80">
        <w:rPr>
          <w:rFonts w:ascii="Cambria" w:hAnsi="Cambria"/>
          <w:sz w:val="20"/>
        </w:rPr>
        <w:t>0</w:t>
      </w:r>
      <w:r w:rsidRPr="003A3C43">
        <w:rPr>
          <w:rFonts w:ascii="Cambria" w:hAnsi="Cambria"/>
          <w:sz w:val="20"/>
        </w:rPr>
        <w:t>, 2019 is a positive $4</w:t>
      </w:r>
      <w:r w:rsidRPr="00537A80">
        <w:rPr>
          <w:rFonts w:ascii="Cambria" w:hAnsi="Cambria"/>
          <w:sz w:val="20"/>
        </w:rPr>
        <w:t>75</w:t>
      </w:r>
      <w:r w:rsidRPr="003A3C43">
        <w:rPr>
          <w:rFonts w:ascii="Cambria" w:hAnsi="Cambria"/>
          <w:sz w:val="20"/>
        </w:rPr>
        <w:t xml:space="preserve"> </w:t>
      </w:r>
      <w:r w:rsidRPr="00537A80">
        <w:rPr>
          <w:rFonts w:ascii="Cambria" w:hAnsi="Cambria"/>
          <w:sz w:val="20"/>
        </w:rPr>
        <w:t xml:space="preserve">and $1,414 </w:t>
      </w:r>
      <w:r w:rsidRPr="003A3C43">
        <w:rPr>
          <w:rFonts w:ascii="Cambria" w:hAnsi="Cambria"/>
          <w:sz w:val="20"/>
        </w:rPr>
        <w:t>impact from the adoption of IFRS 16 accounting standard</w:t>
      </w:r>
      <w:r w:rsidRPr="00537A80">
        <w:rPr>
          <w:rFonts w:ascii="Cambria" w:hAnsi="Cambria"/>
          <w:sz w:val="20"/>
        </w:rPr>
        <w:t>.</w:t>
      </w:r>
    </w:p>
    <w:p w14:paraId="6DD93B7E" w14:textId="77777777" w:rsidR="009E0E92" w:rsidRPr="003B7773" w:rsidRDefault="00440524" w:rsidP="00F638B0">
      <w:pPr>
        <w:pStyle w:val="BodyText"/>
        <w:spacing w:before="240"/>
        <w:rPr>
          <w:rFonts w:ascii="Cambria" w:hAnsi="Cambria"/>
          <w:b/>
          <w:i/>
          <w:sz w:val="20"/>
        </w:rPr>
      </w:pPr>
      <w:r w:rsidRPr="003B7773">
        <w:rPr>
          <w:rFonts w:ascii="Cambria" w:hAnsi="Cambria"/>
          <w:b/>
          <w:i/>
          <w:sz w:val="20"/>
        </w:rPr>
        <w:t>A</w:t>
      </w:r>
      <w:r w:rsidR="009E0E92" w:rsidRPr="003B7773">
        <w:rPr>
          <w:rFonts w:ascii="Cambria" w:hAnsi="Cambria"/>
          <w:b/>
          <w:i/>
          <w:sz w:val="20"/>
        </w:rPr>
        <w:t>djusted EBIT</w:t>
      </w:r>
    </w:p>
    <w:p w14:paraId="41CC41EA" w14:textId="77777777" w:rsidR="00A170FB" w:rsidRPr="000B4AF2" w:rsidRDefault="00A170FB" w:rsidP="00A170FB">
      <w:pPr>
        <w:pStyle w:val="BodyText"/>
        <w:spacing w:before="120"/>
        <w:rPr>
          <w:rFonts w:ascii="Cambria" w:hAnsi="Cambria"/>
          <w:sz w:val="20"/>
        </w:rPr>
      </w:pPr>
      <w:r w:rsidRPr="000B4AF2">
        <w:rPr>
          <w:rFonts w:ascii="Cambria" w:hAnsi="Cambria"/>
          <w:sz w:val="20"/>
        </w:rPr>
        <w:t xml:space="preserve">Adjusted EBIT refers to earnings before interest and finance charges, taxes, and severance costs. </w:t>
      </w:r>
    </w:p>
    <w:p w14:paraId="540992A3" w14:textId="77777777" w:rsidR="002D7FD2" w:rsidRDefault="002D7FD2" w:rsidP="002D7FD2">
      <w:pPr>
        <w:pStyle w:val="BodyText"/>
        <w:spacing w:before="120"/>
        <w:rPr>
          <w:rFonts w:ascii="Cambria" w:hAnsi="Cambria"/>
          <w:sz w:val="20"/>
        </w:rPr>
      </w:pPr>
      <w:r w:rsidRPr="00036773">
        <w:rPr>
          <w:rFonts w:ascii="Cambria" w:hAnsi="Cambria"/>
          <w:sz w:val="20"/>
        </w:rPr>
        <w:t>A reconciliation of net income to Adjusted EBIT is provided below:</w:t>
      </w:r>
    </w:p>
    <w:tbl>
      <w:tblPr>
        <w:tblW w:w="5000" w:type="pct"/>
        <w:tblInd w:w="108" w:type="dxa"/>
        <w:tblBorders>
          <w:top w:val="single" w:sz="4" w:space="0" w:color="auto"/>
          <w:bottom w:val="single" w:sz="4" w:space="0" w:color="auto"/>
        </w:tblBorders>
        <w:tblLook w:val="01E0" w:firstRow="1" w:lastRow="1" w:firstColumn="1" w:lastColumn="1" w:noHBand="0" w:noVBand="0"/>
      </w:tblPr>
      <w:tblGrid>
        <w:gridCol w:w="3970"/>
        <w:gridCol w:w="1526"/>
        <w:gridCol w:w="1530"/>
        <w:gridCol w:w="1526"/>
        <w:gridCol w:w="1528"/>
      </w:tblGrid>
      <w:tr w:rsidR="004707AA" w:rsidRPr="00537A80" w14:paraId="0BDDAAFF" w14:textId="77777777" w:rsidTr="003A3C43">
        <w:tc>
          <w:tcPr>
            <w:tcW w:w="1969" w:type="pct"/>
            <w:tcBorders>
              <w:top w:val="single" w:sz="12" w:space="0" w:color="auto"/>
              <w:bottom w:val="nil"/>
            </w:tcBorders>
            <w:shd w:val="clear" w:color="auto" w:fill="auto"/>
          </w:tcPr>
          <w:p w14:paraId="0E4B4EE2" w14:textId="77777777" w:rsidR="004707AA" w:rsidRPr="00537A80" w:rsidRDefault="004707AA" w:rsidP="003A3C43">
            <w:pPr>
              <w:pStyle w:val="BodyText"/>
              <w:spacing w:before="120"/>
              <w:rPr>
                <w:rFonts w:ascii="Cambria" w:hAnsi="Cambria"/>
                <w:b/>
                <w:sz w:val="18"/>
                <w:szCs w:val="18"/>
              </w:rPr>
            </w:pPr>
          </w:p>
        </w:tc>
        <w:tc>
          <w:tcPr>
            <w:tcW w:w="1516" w:type="pct"/>
            <w:gridSpan w:val="2"/>
            <w:tcBorders>
              <w:top w:val="single" w:sz="12" w:space="0" w:color="auto"/>
              <w:bottom w:val="nil"/>
            </w:tcBorders>
          </w:tcPr>
          <w:p w14:paraId="7A1DFB81"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Three months ended Sept 30</w:t>
            </w:r>
          </w:p>
        </w:tc>
        <w:tc>
          <w:tcPr>
            <w:tcW w:w="1515" w:type="pct"/>
            <w:gridSpan w:val="2"/>
            <w:tcBorders>
              <w:top w:val="single" w:sz="12" w:space="0" w:color="auto"/>
              <w:bottom w:val="nil"/>
            </w:tcBorders>
          </w:tcPr>
          <w:p w14:paraId="6B468809" w14:textId="77777777" w:rsidR="004707AA" w:rsidRPr="00537A80" w:rsidRDefault="004707AA" w:rsidP="003A3C43">
            <w:pPr>
              <w:pStyle w:val="BodyText"/>
              <w:spacing w:before="120"/>
              <w:jc w:val="right"/>
              <w:rPr>
                <w:rFonts w:ascii="Cambria" w:hAnsi="Cambria"/>
                <w:b/>
                <w:sz w:val="18"/>
                <w:szCs w:val="18"/>
              </w:rPr>
            </w:pPr>
            <w:r w:rsidRPr="00537A80">
              <w:rPr>
                <w:rFonts w:ascii="Cambria" w:hAnsi="Cambria"/>
                <w:b/>
                <w:sz w:val="18"/>
                <w:szCs w:val="18"/>
              </w:rPr>
              <w:t>Nine months ended Sept 30</w:t>
            </w:r>
          </w:p>
        </w:tc>
      </w:tr>
      <w:tr w:rsidR="004707AA" w:rsidRPr="00537A80" w14:paraId="7D9F51A1" w14:textId="77777777" w:rsidTr="003A3C43">
        <w:tc>
          <w:tcPr>
            <w:tcW w:w="1969" w:type="pct"/>
            <w:tcBorders>
              <w:top w:val="nil"/>
              <w:bottom w:val="single" w:sz="4" w:space="0" w:color="auto"/>
            </w:tcBorders>
            <w:shd w:val="clear" w:color="auto" w:fill="auto"/>
          </w:tcPr>
          <w:p w14:paraId="51F5B780" w14:textId="77777777" w:rsidR="004707AA" w:rsidRPr="00537A80" w:rsidRDefault="004707AA" w:rsidP="003A3C43">
            <w:pPr>
              <w:pStyle w:val="BodyText"/>
              <w:rPr>
                <w:rFonts w:ascii="Cambria" w:hAnsi="Cambria"/>
                <w:b/>
                <w:sz w:val="18"/>
                <w:szCs w:val="18"/>
              </w:rPr>
            </w:pPr>
            <w:r w:rsidRPr="00537A80">
              <w:rPr>
                <w:rFonts w:ascii="Cambria" w:hAnsi="Cambria"/>
                <w:b/>
                <w:sz w:val="18"/>
                <w:szCs w:val="18"/>
              </w:rPr>
              <w:t>(in $,000s)</w:t>
            </w:r>
          </w:p>
        </w:tc>
        <w:tc>
          <w:tcPr>
            <w:tcW w:w="757" w:type="pct"/>
            <w:tcBorders>
              <w:top w:val="nil"/>
              <w:bottom w:val="single" w:sz="4" w:space="0" w:color="auto"/>
            </w:tcBorders>
          </w:tcPr>
          <w:p w14:paraId="5A8D928C"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2019</w:t>
            </w:r>
          </w:p>
        </w:tc>
        <w:tc>
          <w:tcPr>
            <w:tcW w:w="759" w:type="pct"/>
            <w:tcBorders>
              <w:top w:val="nil"/>
              <w:bottom w:val="single" w:sz="4" w:space="0" w:color="auto"/>
            </w:tcBorders>
          </w:tcPr>
          <w:p w14:paraId="043BF807"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2018</w:t>
            </w:r>
          </w:p>
        </w:tc>
        <w:tc>
          <w:tcPr>
            <w:tcW w:w="757" w:type="pct"/>
            <w:tcBorders>
              <w:top w:val="nil"/>
              <w:bottom w:val="single" w:sz="4" w:space="0" w:color="auto"/>
            </w:tcBorders>
          </w:tcPr>
          <w:p w14:paraId="0BA6DEFE"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2019</w:t>
            </w:r>
          </w:p>
        </w:tc>
        <w:tc>
          <w:tcPr>
            <w:tcW w:w="758" w:type="pct"/>
            <w:tcBorders>
              <w:top w:val="nil"/>
              <w:bottom w:val="single" w:sz="4" w:space="0" w:color="auto"/>
            </w:tcBorders>
          </w:tcPr>
          <w:p w14:paraId="1BC55D77" w14:textId="77777777" w:rsidR="004707AA" w:rsidRPr="00537A80" w:rsidRDefault="004707AA" w:rsidP="003A3C43">
            <w:pPr>
              <w:pStyle w:val="BodyText"/>
              <w:jc w:val="right"/>
              <w:rPr>
                <w:rFonts w:ascii="Cambria" w:hAnsi="Cambria"/>
                <w:b/>
                <w:sz w:val="18"/>
                <w:szCs w:val="18"/>
              </w:rPr>
            </w:pPr>
            <w:r w:rsidRPr="00537A80">
              <w:rPr>
                <w:rFonts w:ascii="Cambria" w:hAnsi="Cambria"/>
                <w:b/>
                <w:sz w:val="18"/>
                <w:szCs w:val="18"/>
              </w:rPr>
              <w:t>2018</w:t>
            </w:r>
          </w:p>
        </w:tc>
      </w:tr>
      <w:tr w:rsidR="004707AA" w:rsidRPr="00537A80" w14:paraId="1D5A2A23" w14:textId="77777777" w:rsidTr="003A3C43">
        <w:tc>
          <w:tcPr>
            <w:tcW w:w="1969" w:type="pct"/>
            <w:vAlign w:val="bottom"/>
          </w:tcPr>
          <w:p w14:paraId="640B7E8E" w14:textId="77777777" w:rsidR="004707AA" w:rsidRPr="00537A80" w:rsidRDefault="004707AA" w:rsidP="003A3C43">
            <w:pPr>
              <w:pStyle w:val="BodyText"/>
              <w:spacing w:before="120"/>
              <w:jc w:val="left"/>
              <w:rPr>
                <w:rFonts w:ascii="Cambria" w:hAnsi="Cambria"/>
                <w:b/>
                <w:sz w:val="18"/>
                <w:szCs w:val="18"/>
              </w:rPr>
            </w:pPr>
            <w:r w:rsidRPr="00537A80">
              <w:rPr>
                <w:rFonts w:ascii="Cambria" w:hAnsi="Cambria"/>
                <w:b/>
                <w:sz w:val="18"/>
                <w:szCs w:val="18"/>
              </w:rPr>
              <w:t>Net (loss) income</w:t>
            </w:r>
          </w:p>
        </w:tc>
        <w:tc>
          <w:tcPr>
            <w:tcW w:w="757" w:type="pct"/>
            <w:vAlign w:val="bottom"/>
          </w:tcPr>
          <w:p w14:paraId="2802EB2C"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w:t>
            </w:r>
            <w:r>
              <w:rPr>
                <w:rFonts w:ascii="Cambria" w:hAnsi="Cambria"/>
                <w:sz w:val="18"/>
                <w:szCs w:val="18"/>
              </w:rPr>
              <w:t>617</w:t>
            </w:r>
            <w:r w:rsidRPr="00537A80">
              <w:rPr>
                <w:rFonts w:ascii="Cambria" w:hAnsi="Cambria"/>
                <w:sz w:val="18"/>
                <w:szCs w:val="18"/>
              </w:rPr>
              <w:t>)</w:t>
            </w:r>
          </w:p>
        </w:tc>
        <w:tc>
          <w:tcPr>
            <w:tcW w:w="759" w:type="pct"/>
            <w:vAlign w:val="bottom"/>
          </w:tcPr>
          <w:p w14:paraId="1304CBCE"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(1,608)</w:t>
            </w:r>
          </w:p>
        </w:tc>
        <w:tc>
          <w:tcPr>
            <w:tcW w:w="757" w:type="pct"/>
            <w:vAlign w:val="bottom"/>
          </w:tcPr>
          <w:p w14:paraId="3A0B68FD"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(4,105)</w:t>
            </w:r>
          </w:p>
        </w:tc>
        <w:tc>
          <w:tcPr>
            <w:tcW w:w="758" w:type="pct"/>
            <w:vAlign w:val="bottom"/>
          </w:tcPr>
          <w:p w14:paraId="62C792DE"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(4,984)</w:t>
            </w:r>
          </w:p>
        </w:tc>
      </w:tr>
      <w:tr w:rsidR="004707AA" w:rsidRPr="00537A80" w14:paraId="03400FDB" w14:textId="77777777" w:rsidTr="003A3C43">
        <w:trPr>
          <w:trHeight w:val="117"/>
        </w:trPr>
        <w:tc>
          <w:tcPr>
            <w:tcW w:w="1969" w:type="pct"/>
            <w:shd w:val="clear" w:color="auto" w:fill="auto"/>
            <w:vAlign w:val="bottom"/>
          </w:tcPr>
          <w:p w14:paraId="270F523D" w14:textId="77777777" w:rsidR="004707AA" w:rsidRPr="00537A80" w:rsidRDefault="004707AA" w:rsidP="003A3C43">
            <w:pPr>
              <w:pStyle w:val="BodyText"/>
              <w:spacing w:before="120"/>
              <w:jc w:val="left"/>
              <w:rPr>
                <w:rFonts w:ascii="Cambria" w:hAnsi="Cambria"/>
                <w:sz w:val="18"/>
                <w:szCs w:val="18"/>
              </w:rPr>
            </w:pPr>
            <w:r w:rsidRPr="00537A80">
              <w:rPr>
                <w:rFonts w:ascii="Cambria" w:hAnsi="Cambria"/>
                <w:sz w:val="18"/>
                <w:szCs w:val="18"/>
              </w:rPr>
              <w:t>Add:</w:t>
            </w:r>
          </w:p>
        </w:tc>
        <w:tc>
          <w:tcPr>
            <w:tcW w:w="757" w:type="pct"/>
            <w:vAlign w:val="bottom"/>
          </w:tcPr>
          <w:p w14:paraId="11D2B99E" w14:textId="77777777" w:rsidR="004707AA" w:rsidRPr="00537A80" w:rsidRDefault="004707AA" w:rsidP="003A3C43">
            <w:pPr>
              <w:pStyle w:val="BodyText"/>
              <w:spacing w:before="120"/>
              <w:jc w:val="right"/>
              <w:rPr>
                <w:rFonts w:ascii="Cambria" w:hAnsi="Cambria"/>
                <w:b/>
                <w:sz w:val="18"/>
                <w:szCs w:val="18"/>
              </w:rPr>
            </w:pPr>
          </w:p>
        </w:tc>
        <w:tc>
          <w:tcPr>
            <w:tcW w:w="759" w:type="pct"/>
            <w:vAlign w:val="bottom"/>
          </w:tcPr>
          <w:p w14:paraId="5C279280" w14:textId="77777777" w:rsidR="004707AA" w:rsidRPr="00537A80" w:rsidRDefault="004707AA" w:rsidP="003A3C43">
            <w:pPr>
              <w:pStyle w:val="BodyText"/>
              <w:spacing w:before="120"/>
              <w:jc w:val="right"/>
              <w:rPr>
                <w:rFonts w:ascii="Cambria" w:hAnsi="Cambria"/>
                <w:b/>
                <w:sz w:val="18"/>
                <w:szCs w:val="18"/>
              </w:rPr>
            </w:pPr>
          </w:p>
        </w:tc>
        <w:tc>
          <w:tcPr>
            <w:tcW w:w="757" w:type="pct"/>
            <w:vAlign w:val="bottom"/>
          </w:tcPr>
          <w:p w14:paraId="752C29DD" w14:textId="77777777" w:rsidR="004707AA" w:rsidRPr="00537A80" w:rsidRDefault="004707AA" w:rsidP="003A3C43">
            <w:pPr>
              <w:pStyle w:val="BodyText"/>
              <w:spacing w:before="120"/>
              <w:jc w:val="right"/>
              <w:rPr>
                <w:rFonts w:ascii="Cambria" w:hAnsi="Cambria"/>
                <w:b/>
                <w:sz w:val="18"/>
                <w:szCs w:val="18"/>
              </w:rPr>
            </w:pPr>
          </w:p>
        </w:tc>
        <w:tc>
          <w:tcPr>
            <w:tcW w:w="758" w:type="pct"/>
            <w:vAlign w:val="bottom"/>
          </w:tcPr>
          <w:p w14:paraId="3A4EFCAB" w14:textId="77777777" w:rsidR="004707AA" w:rsidRPr="00537A80" w:rsidRDefault="004707AA" w:rsidP="003A3C43">
            <w:pPr>
              <w:pStyle w:val="BodyText"/>
              <w:spacing w:before="120"/>
              <w:jc w:val="right"/>
              <w:rPr>
                <w:rFonts w:ascii="Cambria" w:hAnsi="Cambria"/>
                <w:b/>
                <w:sz w:val="18"/>
                <w:szCs w:val="18"/>
              </w:rPr>
            </w:pPr>
          </w:p>
        </w:tc>
      </w:tr>
      <w:tr w:rsidR="004707AA" w:rsidRPr="00537A80" w14:paraId="0DF0BFE9" w14:textId="77777777" w:rsidTr="003A3C43">
        <w:trPr>
          <w:trHeight w:val="171"/>
        </w:trPr>
        <w:tc>
          <w:tcPr>
            <w:tcW w:w="1969" w:type="pct"/>
            <w:vAlign w:val="bottom"/>
          </w:tcPr>
          <w:p w14:paraId="4BACEEF8"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Finance costs</w:t>
            </w:r>
          </w:p>
        </w:tc>
        <w:tc>
          <w:tcPr>
            <w:tcW w:w="757" w:type="pct"/>
            <w:vAlign w:val="bottom"/>
          </w:tcPr>
          <w:p w14:paraId="44587298"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989</w:t>
            </w:r>
          </w:p>
        </w:tc>
        <w:tc>
          <w:tcPr>
            <w:tcW w:w="759" w:type="pct"/>
            <w:vAlign w:val="bottom"/>
          </w:tcPr>
          <w:p w14:paraId="1030FB2D"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944</w:t>
            </w:r>
          </w:p>
        </w:tc>
        <w:tc>
          <w:tcPr>
            <w:tcW w:w="757" w:type="pct"/>
            <w:vAlign w:val="bottom"/>
          </w:tcPr>
          <w:p w14:paraId="4220AB8A"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3,096</w:t>
            </w:r>
          </w:p>
        </w:tc>
        <w:tc>
          <w:tcPr>
            <w:tcW w:w="758" w:type="pct"/>
            <w:vAlign w:val="bottom"/>
          </w:tcPr>
          <w:p w14:paraId="7A619DD4"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2,706</w:t>
            </w:r>
          </w:p>
        </w:tc>
      </w:tr>
      <w:tr w:rsidR="004707AA" w:rsidRPr="00537A80" w14:paraId="1E814E37" w14:textId="77777777" w:rsidTr="003A3C43">
        <w:tc>
          <w:tcPr>
            <w:tcW w:w="1969" w:type="pct"/>
            <w:tcBorders>
              <w:bottom w:val="nil"/>
            </w:tcBorders>
            <w:shd w:val="clear" w:color="auto" w:fill="auto"/>
            <w:vAlign w:val="bottom"/>
          </w:tcPr>
          <w:p w14:paraId="67FF04B7"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Income taxes</w:t>
            </w:r>
          </w:p>
        </w:tc>
        <w:tc>
          <w:tcPr>
            <w:tcW w:w="757" w:type="pct"/>
            <w:tcBorders>
              <w:bottom w:val="nil"/>
            </w:tcBorders>
            <w:vAlign w:val="bottom"/>
          </w:tcPr>
          <w:p w14:paraId="3D64CDBA"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(18)</w:t>
            </w:r>
          </w:p>
        </w:tc>
        <w:tc>
          <w:tcPr>
            <w:tcW w:w="759" w:type="pct"/>
            <w:tcBorders>
              <w:bottom w:val="nil"/>
            </w:tcBorders>
            <w:vAlign w:val="bottom"/>
          </w:tcPr>
          <w:p w14:paraId="5F352BF7"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(28)</w:t>
            </w:r>
          </w:p>
        </w:tc>
        <w:tc>
          <w:tcPr>
            <w:tcW w:w="757" w:type="pct"/>
            <w:tcBorders>
              <w:bottom w:val="nil"/>
            </w:tcBorders>
            <w:vAlign w:val="bottom"/>
          </w:tcPr>
          <w:p w14:paraId="15E482F1"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(56)</w:t>
            </w:r>
          </w:p>
        </w:tc>
        <w:tc>
          <w:tcPr>
            <w:tcW w:w="758" w:type="pct"/>
            <w:tcBorders>
              <w:bottom w:val="nil"/>
            </w:tcBorders>
            <w:vAlign w:val="bottom"/>
          </w:tcPr>
          <w:p w14:paraId="7A8013B7"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(43)</w:t>
            </w:r>
          </w:p>
        </w:tc>
      </w:tr>
      <w:tr w:rsidR="004707AA" w:rsidRPr="00537A80" w14:paraId="203F1EE0" w14:textId="77777777" w:rsidTr="003A3C43">
        <w:tc>
          <w:tcPr>
            <w:tcW w:w="1969" w:type="pct"/>
            <w:tcBorders>
              <w:bottom w:val="nil"/>
            </w:tcBorders>
            <w:shd w:val="clear" w:color="auto" w:fill="auto"/>
            <w:vAlign w:val="bottom"/>
          </w:tcPr>
          <w:p w14:paraId="61A25BD6" w14:textId="77777777" w:rsidR="004707AA" w:rsidRPr="00537A80" w:rsidRDefault="004707AA" w:rsidP="003A3C43">
            <w:pPr>
              <w:pStyle w:val="BodyText"/>
              <w:ind w:left="90"/>
              <w:jc w:val="left"/>
              <w:rPr>
                <w:rFonts w:ascii="Cambria" w:hAnsi="Cambria"/>
                <w:sz w:val="18"/>
                <w:szCs w:val="18"/>
              </w:rPr>
            </w:pPr>
            <w:r w:rsidRPr="00537A80">
              <w:rPr>
                <w:rFonts w:ascii="Cambria" w:hAnsi="Cambria"/>
                <w:sz w:val="18"/>
                <w:szCs w:val="18"/>
              </w:rPr>
              <w:t>Severance costs</w:t>
            </w:r>
          </w:p>
        </w:tc>
        <w:tc>
          <w:tcPr>
            <w:tcW w:w="757" w:type="pct"/>
            <w:tcBorders>
              <w:bottom w:val="nil"/>
            </w:tcBorders>
            <w:vAlign w:val="bottom"/>
          </w:tcPr>
          <w:p w14:paraId="2CAA0200"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10</w:t>
            </w:r>
          </w:p>
        </w:tc>
        <w:tc>
          <w:tcPr>
            <w:tcW w:w="759" w:type="pct"/>
            <w:tcBorders>
              <w:bottom w:val="nil"/>
            </w:tcBorders>
            <w:vAlign w:val="bottom"/>
          </w:tcPr>
          <w:p w14:paraId="111B8B00"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36</w:t>
            </w:r>
          </w:p>
        </w:tc>
        <w:tc>
          <w:tcPr>
            <w:tcW w:w="757" w:type="pct"/>
            <w:tcBorders>
              <w:bottom w:val="nil"/>
            </w:tcBorders>
            <w:vAlign w:val="bottom"/>
          </w:tcPr>
          <w:p w14:paraId="68B04009"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14</w:t>
            </w:r>
          </w:p>
        </w:tc>
        <w:tc>
          <w:tcPr>
            <w:tcW w:w="758" w:type="pct"/>
            <w:tcBorders>
              <w:bottom w:val="nil"/>
            </w:tcBorders>
            <w:vAlign w:val="bottom"/>
          </w:tcPr>
          <w:p w14:paraId="4C958C95" w14:textId="77777777" w:rsidR="004707AA" w:rsidRPr="00537A80" w:rsidRDefault="004707AA" w:rsidP="003A3C43">
            <w:pPr>
              <w:pStyle w:val="BodyText"/>
              <w:jc w:val="right"/>
              <w:rPr>
                <w:rFonts w:ascii="Cambria" w:hAnsi="Cambria"/>
                <w:sz w:val="18"/>
                <w:szCs w:val="18"/>
              </w:rPr>
            </w:pPr>
            <w:r w:rsidRPr="00537A80">
              <w:rPr>
                <w:rFonts w:ascii="Cambria" w:hAnsi="Cambria"/>
                <w:sz w:val="18"/>
                <w:szCs w:val="18"/>
              </w:rPr>
              <w:t>98</w:t>
            </w:r>
          </w:p>
        </w:tc>
      </w:tr>
      <w:tr w:rsidR="004707AA" w:rsidRPr="00537A80" w14:paraId="7B89EC8E" w14:textId="77777777" w:rsidTr="003A3C43">
        <w:trPr>
          <w:trHeight w:val="350"/>
        </w:trPr>
        <w:tc>
          <w:tcPr>
            <w:tcW w:w="1969" w:type="pct"/>
            <w:tcBorders>
              <w:top w:val="single" w:sz="4" w:space="0" w:color="auto"/>
              <w:bottom w:val="single" w:sz="12" w:space="0" w:color="auto"/>
            </w:tcBorders>
            <w:shd w:val="clear" w:color="auto" w:fill="auto"/>
            <w:vAlign w:val="bottom"/>
          </w:tcPr>
          <w:p w14:paraId="30903CAF" w14:textId="77777777" w:rsidR="004707AA" w:rsidRPr="00537A80" w:rsidRDefault="004707AA" w:rsidP="003A3C43">
            <w:pPr>
              <w:pStyle w:val="BodyText"/>
              <w:spacing w:before="120"/>
              <w:jc w:val="left"/>
              <w:rPr>
                <w:rFonts w:ascii="Cambria" w:hAnsi="Cambria"/>
                <w:b/>
                <w:sz w:val="18"/>
                <w:szCs w:val="18"/>
              </w:rPr>
            </w:pPr>
            <w:r w:rsidRPr="00537A80">
              <w:rPr>
                <w:rFonts w:ascii="Cambria" w:hAnsi="Cambria"/>
                <w:b/>
                <w:sz w:val="18"/>
                <w:szCs w:val="18"/>
              </w:rPr>
              <w:t>Adjusted EBIT</w:t>
            </w:r>
          </w:p>
        </w:tc>
        <w:tc>
          <w:tcPr>
            <w:tcW w:w="757" w:type="pct"/>
            <w:tcBorders>
              <w:top w:val="single" w:sz="4" w:space="0" w:color="auto"/>
              <w:bottom w:val="single" w:sz="12" w:space="0" w:color="auto"/>
            </w:tcBorders>
            <w:vAlign w:val="bottom"/>
          </w:tcPr>
          <w:p w14:paraId="2874E017"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(6</w:t>
            </w:r>
            <w:r>
              <w:rPr>
                <w:rFonts w:ascii="Cambria" w:hAnsi="Cambria"/>
                <w:sz w:val="18"/>
                <w:szCs w:val="18"/>
              </w:rPr>
              <w:t>36</w:t>
            </w:r>
            <w:r w:rsidRPr="00537A80">
              <w:rPr>
                <w:rFonts w:ascii="Cambria" w:hAnsi="Cambria"/>
                <w:sz w:val="18"/>
                <w:szCs w:val="18"/>
              </w:rPr>
              <w:t>)</w:t>
            </w:r>
          </w:p>
        </w:tc>
        <w:tc>
          <w:tcPr>
            <w:tcW w:w="759" w:type="pct"/>
            <w:tcBorders>
              <w:top w:val="single" w:sz="4" w:space="0" w:color="auto"/>
              <w:bottom w:val="single" w:sz="12" w:space="0" w:color="auto"/>
            </w:tcBorders>
            <w:vAlign w:val="bottom"/>
          </w:tcPr>
          <w:p w14:paraId="26C59605"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(656)</w:t>
            </w:r>
          </w:p>
        </w:tc>
        <w:tc>
          <w:tcPr>
            <w:tcW w:w="757" w:type="pct"/>
            <w:tcBorders>
              <w:top w:val="single" w:sz="4" w:space="0" w:color="auto"/>
              <w:bottom w:val="single" w:sz="12" w:space="0" w:color="auto"/>
            </w:tcBorders>
            <w:vAlign w:val="bottom"/>
          </w:tcPr>
          <w:p w14:paraId="0518F21F"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(1,051)</w:t>
            </w:r>
          </w:p>
        </w:tc>
        <w:tc>
          <w:tcPr>
            <w:tcW w:w="758" w:type="pct"/>
            <w:tcBorders>
              <w:top w:val="single" w:sz="4" w:space="0" w:color="auto"/>
              <w:bottom w:val="single" w:sz="12" w:space="0" w:color="auto"/>
            </w:tcBorders>
            <w:vAlign w:val="bottom"/>
          </w:tcPr>
          <w:p w14:paraId="290D3A7F" w14:textId="77777777" w:rsidR="004707AA" w:rsidRPr="00537A80" w:rsidRDefault="004707AA" w:rsidP="003A3C43">
            <w:pPr>
              <w:pStyle w:val="BodyText"/>
              <w:spacing w:before="120"/>
              <w:jc w:val="right"/>
              <w:rPr>
                <w:rFonts w:ascii="Cambria" w:hAnsi="Cambria"/>
                <w:sz w:val="18"/>
                <w:szCs w:val="18"/>
              </w:rPr>
            </w:pPr>
            <w:r w:rsidRPr="00537A80">
              <w:rPr>
                <w:rFonts w:ascii="Cambria" w:hAnsi="Cambria"/>
                <w:sz w:val="18"/>
                <w:szCs w:val="18"/>
              </w:rPr>
              <w:t>(2,223)</w:t>
            </w:r>
          </w:p>
        </w:tc>
      </w:tr>
    </w:tbl>
    <w:p w14:paraId="7544FC4B" w14:textId="77777777" w:rsidR="004707AA" w:rsidRPr="003A3C43" w:rsidRDefault="004707AA" w:rsidP="004707AA">
      <w:pPr>
        <w:pStyle w:val="BodyText"/>
        <w:spacing w:before="120"/>
        <w:ind w:left="142"/>
        <w:rPr>
          <w:rFonts w:ascii="Cambria" w:hAnsi="Cambria"/>
          <w:sz w:val="20"/>
        </w:rPr>
      </w:pPr>
      <w:r w:rsidRPr="003A3C43">
        <w:rPr>
          <w:rFonts w:ascii="Cambria" w:hAnsi="Cambria"/>
          <w:sz w:val="20"/>
        </w:rPr>
        <w:t xml:space="preserve">Included in Adjusted EBIT for the three </w:t>
      </w:r>
      <w:r w:rsidRPr="00537A80">
        <w:rPr>
          <w:rFonts w:ascii="Cambria" w:hAnsi="Cambria"/>
          <w:sz w:val="20"/>
        </w:rPr>
        <w:t xml:space="preserve">and nine </w:t>
      </w:r>
      <w:r w:rsidRPr="003A3C43">
        <w:rPr>
          <w:rFonts w:ascii="Cambria" w:hAnsi="Cambria"/>
          <w:sz w:val="20"/>
        </w:rPr>
        <w:t xml:space="preserve">months ended </w:t>
      </w:r>
      <w:r w:rsidRPr="00537A80">
        <w:rPr>
          <w:rFonts w:ascii="Cambria" w:hAnsi="Cambria"/>
          <w:sz w:val="20"/>
        </w:rPr>
        <w:t>September</w:t>
      </w:r>
      <w:r w:rsidRPr="003A3C43">
        <w:rPr>
          <w:rFonts w:ascii="Cambria" w:hAnsi="Cambria"/>
          <w:sz w:val="20"/>
        </w:rPr>
        <w:t xml:space="preserve"> 3</w:t>
      </w:r>
      <w:r w:rsidRPr="00537A80">
        <w:rPr>
          <w:rFonts w:ascii="Cambria" w:hAnsi="Cambria"/>
          <w:sz w:val="20"/>
        </w:rPr>
        <w:t>0</w:t>
      </w:r>
      <w:r w:rsidRPr="003A3C43">
        <w:rPr>
          <w:rFonts w:ascii="Cambria" w:hAnsi="Cambria"/>
          <w:sz w:val="20"/>
        </w:rPr>
        <w:t>, 2019 is a positive $1</w:t>
      </w:r>
      <w:r w:rsidRPr="00537A80">
        <w:rPr>
          <w:rFonts w:ascii="Cambria" w:hAnsi="Cambria"/>
          <w:sz w:val="20"/>
        </w:rPr>
        <w:t>36</w:t>
      </w:r>
      <w:r w:rsidRPr="003A3C43">
        <w:rPr>
          <w:rFonts w:ascii="Cambria" w:hAnsi="Cambria"/>
          <w:sz w:val="20"/>
        </w:rPr>
        <w:t xml:space="preserve"> </w:t>
      </w:r>
      <w:r w:rsidRPr="00537A80">
        <w:rPr>
          <w:rFonts w:ascii="Cambria" w:hAnsi="Cambria"/>
          <w:sz w:val="20"/>
        </w:rPr>
        <w:t xml:space="preserve">and $395 </w:t>
      </w:r>
      <w:r w:rsidRPr="003A3C43">
        <w:rPr>
          <w:rFonts w:ascii="Cambria" w:hAnsi="Cambria"/>
          <w:sz w:val="20"/>
        </w:rPr>
        <w:t>impact from the adoption of IFRS 16 accounting standard.</w:t>
      </w:r>
    </w:p>
    <w:p w14:paraId="728FBB0F" w14:textId="77777777" w:rsidR="005500CF" w:rsidRPr="003B7773" w:rsidRDefault="004B5BDC" w:rsidP="00F638B0">
      <w:pPr>
        <w:overflowPunct/>
        <w:autoSpaceDE/>
        <w:autoSpaceDN/>
        <w:adjustRightInd/>
        <w:spacing w:before="360" w:line="360" w:lineRule="auto"/>
        <w:textAlignment w:val="auto"/>
        <w:rPr>
          <w:rFonts w:asciiTheme="majorHAnsi" w:hAnsiTheme="majorHAnsi" w:cs="Arial"/>
          <w:b/>
          <w:sz w:val="20"/>
        </w:rPr>
      </w:pPr>
      <w:r w:rsidRPr="003B7773">
        <w:rPr>
          <w:rFonts w:asciiTheme="majorHAnsi" w:hAnsiTheme="majorHAnsi" w:cs="Arial"/>
          <w:b/>
          <w:sz w:val="20"/>
        </w:rPr>
        <w:t xml:space="preserve">No </w:t>
      </w:r>
      <w:r w:rsidR="00BA0E66" w:rsidRPr="003B7773">
        <w:rPr>
          <w:rFonts w:asciiTheme="majorHAnsi" w:hAnsiTheme="majorHAnsi" w:cs="Arial"/>
          <w:b/>
          <w:sz w:val="20"/>
        </w:rPr>
        <w:t>Conference Call</w:t>
      </w:r>
    </w:p>
    <w:p w14:paraId="0F082B5C" w14:textId="77777777" w:rsidR="004D0558" w:rsidRPr="003B7773" w:rsidRDefault="000742EE" w:rsidP="001B5D0A">
      <w:pPr>
        <w:jc w:val="both"/>
        <w:rPr>
          <w:rFonts w:asciiTheme="majorHAnsi" w:hAnsiTheme="majorHAnsi" w:cs="Arial"/>
          <w:sz w:val="20"/>
          <w:u w:val="single"/>
        </w:rPr>
      </w:pPr>
      <w:r w:rsidRPr="003B7773">
        <w:rPr>
          <w:rFonts w:asciiTheme="majorHAnsi" w:hAnsiTheme="majorHAnsi" w:cs="Arial"/>
          <w:sz w:val="20"/>
        </w:rPr>
        <w:t xml:space="preserve">No conference call will be held in conjunction with this release. </w:t>
      </w:r>
      <w:r w:rsidR="004D0558" w:rsidRPr="003B7773">
        <w:rPr>
          <w:rFonts w:asciiTheme="majorHAnsi" w:hAnsiTheme="majorHAnsi" w:cs="Arial"/>
          <w:sz w:val="20"/>
        </w:rPr>
        <w:t>Full details of the Company's financial result</w:t>
      </w:r>
      <w:r w:rsidR="00D223FB" w:rsidRPr="003B7773">
        <w:rPr>
          <w:rFonts w:asciiTheme="majorHAnsi" w:hAnsiTheme="majorHAnsi" w:cs="Arial"/>
          <w:sz w:val="20"/>
        </w:rPr>
        <w:t xml:space="preserve">s, in the form of the </w:t>
      </w:r>
      <w:r w:rsidR="00440524" w:rsidRPr="003B7773">
        <w:rPr>
          <w:rFonts w:asciiTheme="majorHAnsi" w:hAnsiTheme="majorHAnsi" w:cs="Arial"/>
          <w:sz w:val="20"/>
        </w:rPr>
        <w:t xml:space="preserve">condensed </w:t>
      </w:r>
      <w:r w:rsidR="004D0558" w:rsidRPr="003B7773">
        <w:rPr>
          <w:rFonts w:asciiTheme="majorHAnsi" w:hAnsiTheme="majorHAnsi" w:cs="Arial"/>
          <w:sz w:val="20"/>
        </w:rPr>
        <w:t xml:space="preserve">consolidated </w:t>
      </w:r>
      <w:r w:rsidR="00440524" w:rsidRPr="003B7773">
        <w:rPr>
          <w:rFonts w:asciiTheme="majorHAnsi" w:hAnsiTheme="majorHAnsi" w:cs="Arial"/>
          <w:sz w:val="20"/>
        </w:rPr>
        <w:t xml:space="preserve">interim </w:t>
      </w:r>
      <w:r w:rsidR="00D223FB" w:rsidRPr="003B7773">
        <w:rPr>
          <w:rFonts w:asciiTheme="majorHAnsi" w:hAnsiTheme="majorHAnsi" w:cs="Arial"/>
          <w:sz w:val="20"/>
        </w:rPr>
        <w:t>f</w:t>
      </w:r>
      <w:r w:rsidR="004D0558" w:rsidRPr="003B7773">
        <w:rPr>
          <w:rFonts w:asciiTheme="majorHAnsi" w:hAnsiTheme="majorHAnsi" w:cs="Arial"/>
          <w:sz w:val="20"/>
        </w:rPr>
        <w:t xml:space="preserve">inancial statements and notes for the </w:t>
      </w:r>
      <w:r w:rsidR="00440524" w:rsidRPr="003B7773">
        <w:rPr>
          <w:rFonts w:asciiTheme="majorHAnsi" w:hAnsiTheme="majorHAnsi" w:cs="Arial"/>
          <w:sz w:val="20"/>
        </w:rPr>
        <w:t>three</w:t>
      </w:r>
      <w:r w:rsidR="00B925FF">
        <w:rPr>
          <w:rFonts w:asciiTheme="majorHAnsi" w:hAnsiTheme="majorHAnsi" w:cs="Arial"/>
          <w:sz w:val="20"/>
        </w:rPr>
        <w:t xml:space="preserve"> and </w:t>
      </w:r>
      <w:r w:rsidR="004707AA">
        <w:rPr>
          <w:rFonts w:asciiTheme="majorHAnsi" w:hAnsiTheme="majorHAnsi" w:cs="Arial"/>
          <w:sz w:val="20"/>
        </w:rPr>
        <w:t>nine</w:t>
      </w:r>
      <w:r w:rsidR="00440524" w:rsidRPr="003B7773">
        <w:rPr>
          <w:rFonts w:asciiTheme="majorHAnsi" w:hAnsiTheme="majorHAnsi" w:cs="Arial"/>
          <w:sz w:val="20"/>
        </w:rPr>
        <w:t xml:space="preserve"> months</w:t>
      </w:r>
      <w:r w:rsidR="004D0558" w:rsidRPr="003B7773">
        <w:rPr>
          <w:rFonts w:asciiTheme="majorHAnsi" w:hAnsiTheme="majorHAnsi" w:cs="Arial"/>
          <w:sz w:val="20"/>
        </w:rPr>
        <w:t xml:space="preserve"> ended </w:t>
      </w:r>
      <w:r w:rsidR="004707AA">
        <w:rPr>
          <w:rFonts w:asciiTheme="majorHAnsi" w:hAnsiTheme="majorHAnsi" w:cs="Arial"/>
          <w:sz w:val="20"/>
        </w:rPr>
        <w:t>September</w:t>
      </w:r>
      <w:r w:rsidR="002D7FD2">
        <w:rPr>
          <w:rFonts w:asciiTheme="majorHAnsi" w:hAnsiTheme="majorHAnsi" w:cs="Arial"/>
          <w:sz w:val="20"/>
        </w:rPr>
        <w:t xml:space="preserve"> 3</w:t>
      </w:r>
      <w:r w:rsidR="00B925FF">
        <w:rPr>
          <w:rFonts w:asciiTheme="majorHAnsi" w:hAnsiTheme="majorHAnsi" w:cs="Arial"/>
          <w:sz w:val="20"/>
        </w:rPr>
        <w:t>0</w:t>
      </w:r>
      <w:r w:rsidR="006D1F3F" w:rsidRPr="003B7773">
        <w:rPr>
          <w:rFonts w:asciiTheme="majorHAnsi" w:hAnsiTheme="majorHAnsi" w:cs="Arial"/>
          <w:sz w:val="20"/>
        </w:rPr>
        <w:t>,</w:t>
      </w:r>
      <w:r w:rsidR="002D7FD2">
        <w:rPr>
          <w:rFonts w:asciiTheme="majorHAnsi" w:hAnsiTheme="majorHAnsi" w:cs="Arial"/>
          <w:sz w:val="20"/>
        </w:rPr>
        <w:t xml:space="preserve"> 201</w:t>
      </w:r>
      <w:r w:rsidR="00A170FB">
        <w:rPr>
          <w:rFonts w:asciiTheme="majorHAnsi" w:hAnsiTheme="majorHAnsi" w:cs="Arial"/>
          <w:sz w:val="20"/>
        </w:rPr>
        <w:t>9</w:t>
      </w:r>
      <w:r w:rsidR="002535C7" w:rsidRPr="003B7773">
        <w:rPr>
          <w:rFonts w:asciiTheme="majorHAnsi" w:hAnsiTheme="majorHAnsi" w:cs="Arial"/>
          <w:sz w:val="20"/>
        </w:rPr>
        <w:t xml:space="preserve"> </w:t>
      </w:r>
      <w:r w:rsidR="004D0558" w:rsidRPr="003B7773">
        <w:rPr>
          <w:rFonts w:asciiTheme="majorHAnsi" w:hAnsiTheme="majorHAnsi" w:cs="Arial"/>
          <w:sz w:val="20"/>
        </w:rPr>
        <w:t>and Management's Discussion and Analysis of the results are available on SEDAR at</w:t>
      </w:r>
      <w:r w:rsidR="00EC41D1" w:rsidRPr="003B7773">
        <w:rPr>
          <w:rFonts w:asciiTheme="majorHAnsi" w:hAnsiTheme="majorHAnsi" w:cs="Arial"/>
          <w:sz w:val="20"/>
        </w:rPr>
        <w:t xml:space="preserve"> </w:t>
      </w:r>
      <w:hyperlink r:id="rId9" w:history="1">
        <w:r w:rsidR="004D0558" w:rsidRPr="003B7773">
          <w:rPr>
            <w:rFonts w:asciiTheme="majorHAnsi" w:hAnsiTheme="majorHAnsi" w:cs="Arial"/>
            <w:sz w:val="20"/>
          </w:rPr>
          <w:t>www.sedar.com</w:t>
        </w:r>
      </w:hyperlink>
      <w:r w:rsidR="004D0558" w:rsidRPr="003B7773">
        <w:rPr>
          <w:rFonts w:asciiTheme="majorHAnsi" w:hAnsiTheme="majorHAnsi" w:cs="Arial"/>
          <w:sz w:val="20"/>
        </w:rPr>
        <w:t> and on the Company's website at </w:t>
      </w:r>
      <w:r w:rsidR="00564B1A" w:rsidRPr="003B7773">
        <w:rPr>
          <w:rFonts w:asciiTheme="majorHAnsi" w:hAnsiTheme="majorHAnsi" w:cs="Arial"/>
          <w:sz w:val="20"/>
          <w:u w:val="single"/>
        </w:rPr>
        <w:t>www.zedcor</w:t>
      </w:r>
      <w:r w:rsidR="00266638" w:rsidRPr="003B7773">
        <w:rPr>
          <w:rFonts w:asciiTheme="majorHAnsi" w:hAnsiTheme="majorHAnsi" w:cs="Arial"/>
          <w:sz w:val="20"/>
          <w:u w:val="single"/>
        </w:rPr>
        <w:t>.ca</w:t>
      </w:r>
      <w:r w:rsidR="004D0558" w:rsidRPr="003B7773">
        <w:rPr>
          <w:rFonts w:asciiTheme="majorHAnsi" w:hAnsiTheme="majorHAnsi" w:cs="Arial"/>
          <w:sz w:val="20"/>
          <w:u w:val="single"/>
        </w:rPr>
        <w:t>.</w:t>
      </w:r>
    </w:p>
    <w:p w14:paraId="4774141B" w14:textId="77777777" w:rsidR="004707AA" w:rsidRDefault="004707AA" w:rsidP="00F638B0">
      <w:pPr>
        <w:spacing w:before="240" w:after="120" w:line="260" w:lineRule="atLeast"/>
        <w:jc w:val="both"/>
        <w:rPr>
          <w:rFonts w:asciiTheme="majorHAnsi" w:hAnsiTheme="majorHAnsi" w:cs="Arial"/>
          <w:b/>
          <w:color w:val="000000"/>
          <w:sz w:val="20"/>
        </w:rPr>
      </w:pPr>
    </w:p>
    <w:p w14:paraId="4B3425AD" w14:textId="77777777" w:rsidR="00D973F5" w:rsidRPr="003B7773" w:rsidRDefault="00564B1A" w:rsidP="00F638B0">
      <w:pPr>
        <w:spacing w:before="240" w:after="120" w:line="260" w:lineRule="atLeast"/>
        <w:jc w:val="both"/>
        <w:rPr>
          <w:rFonts w:asciiTheme="majorHAnsi" w:hAnsiTheme="majorHAnsi" w:cs="Arial"/>
          <w:b/>
          <w:color w:val="000000"/>
          <w:sz w:val="20"/>
        </w:rPr>
      </w:pPr>
      <w:r w:rsidRPr="003B7773">
        <w:rPr>
          <w:rFonts w:asciiTheme="majorHAnsi" w:hAnsiTheme="majorHAnsi" w:cs="Arial"/>
          <w:b/>
          <w:color w:val="000000"/>
          <w:sz w:val="20"/>
        </w:rPr>
        <w:lastRenderedPageBreak/>
        <w:t>About Zedcor Energy Inc</w:t>
      </w:r>
      <w:r w:rsidR="00D64D20" w:rsidRPr="003B7773">
        <w:rPr>
          <w:rFonts w:asciiTheme="majorHAnsi" w:hAnsiTheme="majorHAnsi" w:cs="Arial"/>
          <w:b/>
          <w:color w:val="000000"/>
          <w:sz w:val="20"/>
        </w:rPr>
        <w:t>.</w:t>
      </w:r>
    </w:p>
    <w:p w14:paraId="2A963DD5" w14:textId="77777777" w:rsidR="00A8282F" w:rsidRDefault="00F638B0" w:rsidP="00A8282F">
      <w:pPr>
        <w:jc w:val="both"/>
        <w:rPr>
          <w:rFonts w:ascii="Cambria" w:hAnsi="Cambria" w:cs="Arial"/>
          <w:sz w:val="20"/>
        </w:rPr>
      </w:pPr>
      <w:r>
        <w:rPr>
          <w:rFonts w:ascii="Cambria" w:hAnsi="Cambria" w:cs="Arial"/>
          <w:sz w:val="20"/>
        </w:rPr>
        <w:t>Z</w:t>
      </w:r>
      <w:r w:rsidR="00564B1A" w:rsidRPr="003B7773">
        <w:rPr>
          <w:rFonts w:ascii="Cambria" w:hAnsi="Cambria" w:cs="Arial"/>
          <w:sz w:val="20"/>
        </w:rPr>
        <w:t>edcor Energy Inc</w:t>
      </w:r>
      <w:r w:rsidR="00A8282F" w:rsidRPr="003B7773">
        <w:rPr>
          <w:rFonts w:ascii="Cambria" w:hAnsi="Cambria" w:cs="Arial"/>
          <w:sz w:val="20"/>
        </w:rPr>
        <w:t>. is a Canadian public corporation and parent compa</w:t>
      </w:r>
      <w:r w:rsidR="001215E0" w:rsidRPr="003B7773">
        <w:rPr>
          <w:rFonts w:ascii="Cambria" w:hAnsi="Cambria" w:cs="Arial"/>
          <w:sz w:val="20"/>
        </w:rPr>
        <w:t>ny to Zedcor Energy Services Corp</w:t>
      </w:r>
      <w:r w:rsidR="00A8282F" w:rsidRPr="003B7773">
        <w:rPr>
          <w:rFonts w:ascii="Cambria" w:hAnsi="Cambria" w:cs="Arial"/>
          <w:sz w:val="20"/>
        </w:rPr>
        <w:t>. (“Zedcor”). Zedcor is engaged in the rental of surface equipment and accommodations</w:t>
      </w:r>
      <w:r w:rsidR="00330E7B">
        <w:rPr>
          <w:rFonts w:ascii="Cambria" w:hAnsi="Cambria" w:cs="Arial"/>
          <w:sz w:val="20"/>
        </w:rPr>
        <w:t>, and providing security and surveillance services in</w:t>
      </w:r>
      <w:r w:rsidR="00A8282F" w:rsidRPr="003B7773">
        <w:rPr>
          <w:rFonts w:ascii="Cambria" w:hAnsi="Cambria" w:cs="Arial"/>
          <w:sz w:val="20"/>
        </w:rPr>
        <w:t xml:space="preserve"> Western Canada. The Company trades on the TSX Ventur</w:t>
      </w:r>
      <w:r w:rsidR="00564B1A" w:rsidRPr="003B7773">
        <w:rPr>
          <w:rFonts w:ascii="Cambria" w:hAnsi="Cambria" w:cs="Arial"/>
          <w:sz w:val="20"/>
        </w:rPr>
        <w:t>e Exchange under the symbol “ZDC</w:t>
      </w:r>
      <w:r w:rsidR="00A8282F" w:rsidRPr="003B7773">
        <w:rPr>
          <w:rFonts w:ascii="Cambria" w:hAnsi="Cambria" w:cs="Arial"/>
          <w:sz w:val="20"/>
        </w:rPr>
        <w:t>”.</w:t>
      </w:r>
    </w:p>
    <w:p w14:paraId="60CEE201" w14:textId="77777777" w:rsidR="002D7FD2" w:rsidRDefault="002D7FD2" w:rsidP="00A8282F">
      <w:pPr>
        <w:jc w:val="both"/>
        <w:rPr>
          <w:rFonts w:ascii="Cambria" w:hAnsi="Cambria" w:cs="Arial"/>
          <w:sz w:val="20"/>
        </w:rPr>
      </w:pPr>
    </w:p>
    <w:p w14:paraId="7BC12118" w14:textId="77777777" w:rsidR="002D7FD2" w:rsidRDefault="002D7FD2" w:rsidP="00A8282F">
      <w:pPr>
        <w:jc w:val="both"/>
        <w:rPr>
          <w:rFonts w:ascii="Cambria" w:hAnsi="Cambria" w:cs="Arial"/>
          <w:sz w:val="20"/>
        </w:rPr>
      </w:pPr>
    </w:p>
    <w:p w14:paraId="3B1F82AA" w14:textId="77777777" w:rsidR="000A226D" w:rsidRPr="003B7773" w:rsidRDefault="000A226D" w:rsidP="000A226D">
      <w:pPr>
        <w:pStyle w:val="BodyText"/>
        <w:tabs>
          <w:tab w:val="left" w:pos="6420"/>
        </w:tabs>
        <w:rPr>
          <w:rFonts w:ascii="Cambria" w:hAnsi="Cambria" w:cs="Arial"/>
          <w:b/>
          <w:sz w:val="24"/>
          <w:szCs w:val="24"/>
        </w:rPr>
      </w:pPr>
      <w:r w:rsidRPr="003B7773">
        <w:rPr>
          <w:rFonts w:ascii="Cambria" w:hAnsi="Cambria" w:cs="Arial"/>
          <w:b/>
          <w:sz w:val="24"/>
          <w:szCs w:val="24"/>
        </w:rPr>
        <w:t>FORWARD-LOOKING STATEMENTS</w:t>
      </w:r>
    </w:p>
    <w:p w14:paraId="42E491CB" w14:textId="77777777" w:rsidR="00A170FB" w:rsidRPr="000B4AF2" w:rsidRDefault="00A170FB" w:rsidP="00A170FB">
      <w:pPr>
        <w:spacing w:before="240"/>
        <w:jc w:val="both"/>
        <w:rPr>
          <w:rFonts w:ascii="Cambria" w:hAnsi="Cambria" w:cs="Arial"/>
          <w:sz w:val="20"/>
        </w:rPr>
      </w:pPr>
      <w:r w:rsidRPr="000B4AF2">
        <w:rPr>
          <w:rFonts w:ascii="Cambria" w:hAnsi="Cambria" w:cs="Arial"/>
          <w:sz w:val="20"/>
        </w:rPr>
        <w:t>Certain statements included or incorp</w:t>
      </w:r>
      <w:r>
        <w:rPr>
          <w:rFonts w:ascii="Cambria" w:hAnsi="Cambria" w:cs="Arial"/>
          <w:sz w:val="20"/>
        </w:rPr>
        <w:t>orated by reference in this press release</w:t>
      </w:r>
      <w:r w:rsidRPr="000B4AF2">
        <w:rPr>
          <w:rFonts w:ascii="Cambria" w:hAnsi="Cambria" w:cs="Arial"/>
          <w:sz w:val="20"/>
        </w:rPr>
        <w:t xml:space="preserve"> constitute forward-looking statements or forward-looking information, including management’s belief that streamlining rental assets with newer equipment will drive improvements in equipment rental rates and utilization, and that the expanded market reach and customer base will lead to more diversity in the Company’s revenue stream and increase utilization.  Forward-looking statements or information may contain statements with the words “anticipate”, “believe”, “expect”, “plan”, “intend”, “estimate”, “propose”, “budget”, “should”, “project”, “would have realized’, “may have been” or similar words suggesting future outcomes or expectations. Although the Company believes that the expectations implied in such forward-looking statements or information are reasonable, undue reliance should not be placed on these forward-looking statements because the Company can give no assurance that such statements will prove to be correct. Forward-looking statements or information are based on current expectations, estimates and projections that involve a number of assumptions about the future and uncertainties. These assumptions include that the Company’s new solar hybrid light tower and related security and surveillance service offerings will lead to more diversity in revenue streams and protect against future down swings in the economic environment. Although management believes these assumptions are reasonable, there can be no assurance that they will prove to be correct, and actual results will differ materially from those anticipated.  For this purpose, any statements herein that are not statements of historical fact may be deemed to be forward-looking statements.  The forward-looking statements or information </w:t>
      </w:r>
      <w:r>
        <w:rPr>
          <w:rFonts w:ascii="Cambria" w:hAnsi="Cambria" w:cs="Arial"/>
          <w:sz w:val="20"/>
        </w:rPr>
        <w:t>contained in this press release</w:t>
      </w:r>
      <w:r w:rsidRPr="000B4AF2">
        <w:rPr>
          <w:rFonts w:ascii="Cambria" w:hAnsi="Cambria" w:cs="Arial"/>
          <w:sz w:val="20"/>
        </w:rPr>
        <w:t xml:space="preserve"> are made as of the date hereof and the Company assumes no obligation to update publicly or revise any forward-looking statements or information, whether as a result of new contrary information, future events or any other reason, unless it is required by any applicable securities laws. The forward-looking statements or information contained in this </w:t>
      </w:r>
      <w:r>
        <w:rPr>
          <w:rFonts w:ascii="Cambria" w:hAnsi="Cambria" w:cs="Arial"/>
          <w:sz w:val="20"/>
        </w:rPr>
        <w:t>press release</w:t>
      </w:r>
      <w:r w:rsidRPr="000B4AF2">
        <w:rPr>
          <w:rFonts w:ascii="Cambria" w:hAnsi="Cambria" w:cs="Arial"/>
          <w:sz w:val="20"/>
        </w:rPr>
        <w:t xml:space="preserve"> are expressly qualified by this cautionary statement.</w:t>
      </w:r>
    </w:p>
    <w:p w14:paraId="55B9F103" w14:textId="77777777" w:rsidR="000A226D" w:rsidRPr="003B7773" w:rsidRDefault="000A226D" w:rsidP="00EC1C0A">
      <w:pPr>
        <w:spacing w:before="120" w:after="120" w:line="260" w:lineRule="atLeast"/>
        <w:rPr>
          <w:rFonts w:asciiTheme="majorHAnsi" w:hAnsiTheme="majorHAnsi" w:cs="Arial"/>
          <w:b/>
          <w:sz w:val="20"/>
        </w:rPr>
      </w:pPr>
    </w:p>
    <w:p w14:paraId="595FD8E1" w14:textId="77777777" w:rsidR="00F06722" w:rsidRPr="003B7773" w:rsidRDefault="00F06722" w:rsidP="00EC1C0A">
      <w:pPr>
        <w:spacing w:before="120" w:after="120" w:line="260" w:lineRule="atLeast"/>
        <w:rPr>
          <w:rFonts w:asciiTheme="majorHAnsi" w:hAnsiTheme="majorHAnsi" w:cs="Arial"/>
          <w:b/>
          <w:sz w:val="20"/>
        </w:rPr>
        <w:sectPr w:rsidR="00F06722" w:rsidRPr="003B7773" w:rsidSect="004707AA">
          <w:pgSz w:w="12240" w:h="15840"/>
          <w:pgMar w:top="993" w:right="1080" w:bottom="1134" w:left="1080" w:header="1440" w:footer="720" w:gutter="0"/>
          <w:paperSrc w:first="263" w:other="263"/>
          <w:pgNumType w:start="1"/>
          <w:cols w:space="720"/>
          <w:titlePg/>
          <w:docGrid w:linePitch="326"/>
        </w:sectPr>
      </w:pPr>
      <w:r w:rsidRPr="003B7773">
        <w:rPr>
          <w:rFonts w:asciiTheme="majorHAnsi" w:hAnsiTheme="majorHAnsi" w:cs="Arial"/>
          <w:b/>
          <w:sz w:val="20"/>
        </w:rPr>
        <w:t>For further information contac</w:t>
      </w:r>
      <w:r w:rsidR="005A6459" w:rsidRPr="003B7773">
        <w:rPr>
          <w:rFonts w:asciiTheme="majorHAnsi" w:hAnsiTheme="majorHAnsi" w:cs="Arial"/>
          <w:b/>
          <w:sz w:val="20"/>
        </w:rPr>
        <w:t>t:</w:t>
      </w:r>
    </w:p>
    <w:p w14:paraId="4D1012F1" w14:textId="77777777" w:rsidR="00A8282F" w:rsidRPr="003B7773" w:rsidRDefault="00A170FB" w:rsidP="00A8282F">
      <w:pPr>
        <w:spacing w:before="120" w:after="120" w:line="260" w:lineRule="atLeast"/>
        <w:rPr>
          <w:rFonts w:asciiTheme="majorHAnsi" w:hAnsiTheme="majorHAnsi" w:cs="Arial"/>
          <w:sz w:val="20"/>
        </w:rPr>
      </w:pPr>
      <w:r>
        <w:rPr>
          <w:rFonts w:asciiTheme="majorHAnsi" w:hAnsiTheme="majorHAnsi" w:cs="Arial"/>
          <w:b/>
          <w:sz w:val="20"/>
        </w:rPr>
        <w:t>Kim Cotter</w:t>
      </w:r>
      <w:r w:rsidR="00A8282F" w:rsidRPr="003B7773">
        <w:rPr>
          <w:rFonts w:asciiTheme="majorHAnsi" w:hAnsiTheme="majorHAnsi" w:cs="Arial"/>
          <w:sz w:val="20"/>
        </w:rPr>
        <w:br/>
        <w:t>Chief Fin</w:t>
      </w:r>
      <w:r>
        <w:rPr>
          <w:rFonts w:asciiTheme="majorHAnsi" w:hAnsiTheme="majorHAnsi" w:cs="Arial"/>
          <w:sz w:val="20"/>
        </w:rPr>
        <w:t>ancial Officer</w:t>
      </w:r>
      <w:r>
        <w:rPr>
          <w:rFonts w:asciiTheme="majorHAnsi" w:hAnsiTheme="majorHAnsi" w:cs="Arial"/>
          <w:sz w:val="20"/>
        </w:rPr>
        <w:br/>
        <w:t>P: (403) 930-5435</w:t>
      </w:r>
      <w:r w:rsidR="00A8282F" w:rsidRPr="003B7773">
        <w:rPr>
          <w:rFonts w:asciiTheme="majorHAnsi" w:hAnsiTheme="majorHAnsi" w:cs="Arial"/>
          <w:sz w:val="20"/>
        </w:rPr>
        <w:br/>
        <w:t xml:space="preserve">E: </w:t>
      </w:r>
      <w:r>
        <w:rPr>
          <w:rFonts w:asciiTheme="majorHAnsi" w:hAnsiTheme="majorHAnsi" w:cs="Arial"/>
          <w:sz w:val="20"/>
        </w:rPr>
        <w:t>kcotter</w:t>
      </w:r>
      <w:r w:rsidR="00564B1A" w:rsidRPr="003B7773">
        <w:rPr>
          <w:rFonts w:asciiTheme="majorHAnsi" w:hAnsiTheme="majorHAnsi" w:cs="Arial"/>
          <w:sz w:val="20"/>
        </w:rPr>
        <w:t>@zedcor</w:t>
      </w:r>
      <w:r w:rsidR="00A8282F" w:rsidRPr="003B7773">
        <w:rPr>
          <w:rFonts w:asciiTheme="majorHAnsi" w:hAnsiTheme="majorHAnsi" w:cs="Arial"/>
          <w:sz w:val="20"/>
        </w:rPr>
        <w:t>.ca</w:t>
      </w:r>
    </w:p>
    <w:p w14:paraId="7CB39445" w14:textId="77777777" w:rsidR="00A8282F" w:rsidRPr="003B7773" w:rsidRDefault="00A8282F" w:rsidP="00A8282F">
      <w:pPr>
        <w:spacing w:before="120" w:after="120" w:line="260" w:lineRule="atLeast"/>
        <w:rPr>
          <w:rFonts w:asciiTheme="majorHAnsi" w:hAnsiTheme="majorHAnsi" w:cs="Arial"/>
          <w:sz w:val="20"/>
        </w:rPr>
      </w:pPr>
    </w:p>
    <w:p w14:paraId="104C0A6A" w14:textId="77777777" w:rsidR="00DC60F3" w:rsidRPr="003B7773" w:rsidRDefault="00F06722" w:rsidP="00EC1C0A">
      <w:pPr>
        <w:spacing w:before="120" w:after="120" w:line="260" w:lineRule="atLeast"/>
        <w:rPr>
          <w:rFonts w:asciiTheme="majorHAnsi" w:hAnsiTheme="majorHAnsi" w:cs="Arial"/>
          <w:sz w:val="20"/>
        </w:rPr>
      </w:pPr>
      <w:r w:rsidRPr="003B7773">
        <w:rPr>
          <w:rFonts w:asciiTheme="majorHAnsi" w:hAnsiTheme="majorHAnsi" w:cs="Arial"/>
          <w:sz w:val="20"/>
        </w:rPr>
        <w:br/>
      </w:r>
    </w:p>
    <w:p w14:paraId="503834FC" w14:textId="77777777" w:rsidR="00F06722" w:rsidRPr="003B7773" w:rsidRDefault="00F06722" w:rsidP="00EC1C0A">
      <w:pPr>
        <w:spacing w:before="120" w:after="120" w:line="260" w:lineRule="atLeast"/>
        <w:rPr>
          <w:rFonts w:asciiTheme="majorHAnsi" w:hAnsiTheme="majorHAnsi" w:cs="Arial"/>
          <w:b/>
          <w:sz w:val="20"/>
        </w:rPr>
      </w:pPr>
    </w:p>
    <w:p w14:paraId="17559565" w14:textId="77777777" w:rsidR="000742EE" w:rsidRPr="003B7773" w:rsidRDefault="000742EE" w:rsidP="00EC1C0A">
      <w:pPr>
        <w:spacing w:before="120" w:after="120" w:line="260" w:lineRule="atLeast"/>
        <w:rPr>
          <w:rFonts w:asciiTheme="majorHAnsi" w:hAnsiTheme="majorHAnsi" w:cs="Arial"/>
          <w:b/>
          <w:sz w:val="20"/>
        </w:rPr>
        <w:sectPr w:rsidR="000742EE" w:rsidRPr="003B7773" w:rsidSect="00F06722">
          <w:type w:val="continuous"/>
          <w:pgSz w:w="12240" w:h="15840"/>
          <w:pgMar w:top="900" w:right="1170" w:bottom="630" w:left="1800" w:header="1440" w:footer="720" w:gutter="0"/>
          <w:paperSrc w:first="263" w:other="263"/>
          <w:pgNumType w:start="1"/>
          <w:cols w:num="2" w:space="720"/>
          <w:titlePg/>
          <w:docGrid w:linePitch="326"/>
        </w:sectPr>
      </w:pPr>
    </w:p>
    <w:p w14:paraId="4951021B" w14:textId="77777777" w:rsidR="00F5620E" w:rsidRPr="005500CF" w:rsidRDefault="00750E9D" w:rsidP="00EC1C0A">
      <w:pPr>
        <w:spacing w:before="120" w:after="120" w:line="260" w:lineRule="atLeast"/>
        <w:rPr>
          <w:rFonts w:asciiTheme="majorHAnsi" w:hAnsiTheme="majorHAnsi" w:cs="Arial"/>
          <w:b/>
          <w:sz w:val="20"/>
        </w:rPr>
      </w:pPr>
      <w:r w:rsidRPr="003B7773">
        <w:rPr>
          <w:rFonts w:asciiTheme="majorHAnsi" w:hAnsiTheme="majorHAnsi" w:cs="Arial"/>
          <w:b/>
          <w:sz w:val="20"/>
        </w:rPr>
        <w:t>Neither TSX Venture Exchange nor its Regulation Services Provider (as that term is defined in the policies of the TSX Venture Exchange) accepts responsibility for the adequacy or accuracy of this release.</w:t>
      </w:r>
    </w:p>
    <w:sectPr w:rsidR="00F5620E" w:rsidRPr="005500CF" w:rsidSect="00F06722">
      <w:type w:val="continuous"/>
      <w:pgSz w:w="12240" w:h="15840"/>
      <w:pgMar w:top="900" w:right="1170" w:bottom="630" w:left="1800" w:header="1440" w:footer="720" w:gutter="0"/>
      <w:paperSrc w:first="263" w:other="26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57B5" w14:textId="77777777" w:rsidR="00FC2853" w:rsidRDefault="00FC2853">
      <w:r>
        <w:separator/>
      </w:r>
    </w:p>
  </w:endnote>
  <w:endnote w:type="continuationSeparator" w:id="0">
    <w:p w14:paraId="12E1E9D4" w14:textId="77777777" w:rsidR="00FC2853" w:rsidRDefault="00FC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650C" w14:textId="77777777" w:rsidR="00FC2853" w:rsidRDefault="00FC2853">
      <w:r>
        <w:separator/>
      </w:r>
    </w:p>
  </w:footnote>
  <w:footnote w:type="continuationSeparator" w:id="0">
    <w:p w14:paraId="67608427" w14:textId="77777777" w:rsidR="00FC2853" w:rsidRDefault="00FC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7676BE"/>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1454400"/>
    <w:multiLevelType w:val="hybridMultilevel"/>
    <w:tmpl w:val="7A046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AC1F61"/>
    <w:multiLevelType w:val="hybridMultilevel"/>
    <w:tmpl w:val="28164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C60CF2"/>
    <w:multiLevelType w:val="hybridMultilevel"/>
    <w:tmpl w:val="DD86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E1523B"/>
    <w:multiLevelType w:val="hybridMultilevel"/>
    <w:tmpl w:val="ADFC0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4D392F"/>
    <w:multiLevelType w:val="hybridMultilevel"/>
    <w:tmpl w:val="E5C8B0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127386A"/>
    <w:multiLevelType w:val="hybridMultilevel"/>
    <w:tmpl w:val="E56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4F87"/>
    <w:multiLevelType w:val="hybridMultilevel"/>
    <w:tmpl w:val="170CA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tzCxMDYyNzcwN7JQ0lEKTi0uzszPAykwrAUAkYKKLSwAAAA="/>
    <w:docVar w:name="APWAFVersion" w:val="5.0"/>
  </w:docVars>
  <w:rsids>
    <w:rsidRoot w:val="00412E92"/>
    <w:rsid w:val="00006BBA"/>
    <w:rsid w:val="00006FE5"/>
    <w:rsid w:val="0001179D"/>
    <w:rsid w:val="00012AFF"/>
    <w:rsid w:val="00014F9B"/>
    <w:rsid w:val="00015CB7"/>
    <w:rsid w:val="00017BB2"/>
    <w:rsid w:val="00017D2A"/>
    <w:rsid w:val="000224B5"/>
    <w:rsid w:val="0002411B"/>
    <w:rsid w:val="000250E6"/>
    <w:rsid w:val="00026634"/>
    <w:rsid w:val="00027D8D"/>
    <w:rsid w:val="00030759"/>
    <w:rsid w:val="00030FF3"/>
    <w:rsid w:val="00031458"/>
    <w:rsid w:val="00035004"/>
    <w:rsid w:val="00042B75"/>
    <w:rsid w:val="00045EB8"/>
    <w:rsid w:val="00046201"/>
    <w:rsid w:val="00051927"/>
    <w:rsid w:val="00053B79"/>
    <w:rsid w:val="0005614E"/>
    <w:rsid w:val="00056B1C"/>
    <w:rsid w:val="00057C44"/>
    <w:rsid w:val="000604D6"/>
    <w:rsid w:val="00061862"/>
    <w:rsid w:val="00061925"/>
    <w:rsid w:val="00066A6C"/>
    <w:rsid w:val="00066AA3"/>
    <w:rsid w:val="0007078C"/>
    <w:rsid w:val="0007126C"/>
    <w:rsid w:val="000715A7"/>
    <w:rsid w:val="00074250"/>
    <w:rsid w:val="000742EE"/>
    <w:rsid w:val="00075140"/>
    <w:rsid w:val="00081FCF"/>
    <w:rsid w:val="000827FA"/>
    <w:rsid w:val="0009251B"/>
    <w:rsid w:val="00094018"/>
    <w:rsid w:val="0009422A"/>
    <w:rsid w:val="00094389"/>
    <w:rsid w:val="000A0650"/>
    <w:rsid w:val="000A18F3"/>
    <w:rsid w:val="000A226D"/>
    <w:rsid w:val="000A22EC"/>
    <w:rsid w:val="000A6DA5"/>
    <w:rsid w:val="000B09C3"/>
    <w:rsid w:val="000B3414"/>
    <w:rsid w:val="000B56FA"/>
    <w:rsid w:val="000B5829"/>
    <w:rsid w:val="000B7A47"/>
    <w:rsid w:val="000C220A"/>
    <w:rsid w:val="000C24C6"/>
    <w:rsid w:val="000C2B2C"/>
    <w:rsid w:val="000C4160"/>
    <w:rsid w:val="000D47E5"/>
    <w:rsid w:val="000E2C63"/>
    <w:rsid w:val="000E6C5D"/>
    <w:rsid w:val="000F51EE"/>
    <w:rsid w:val="000F5E18"/>
    <w:rsid w:val="000F681D"/>
    <w:rsid w:val="001018B6"/>
    <w:rsid w:val="00101990"/>
    <w:rsid w:val="00103EE0"/>
    <w:rsid w:val="00107C08"/>
    <w:rsid w:val="0011296B"/>
    <w:rsid w:val="00116D6C"/>
    <w:rsid w:val="00117463"/>
    <w:rsid w:val="001215E0"/>
    <w:rsid w:val="00121F65"/>
    <w:rsid w:val="00125ADE"/>
    <w:rsid w:val="001300CC"/>
    <w:rsid w:val="0013659B"/>
    <w:rsid w:val="00137CCC"/>
    <w:rsid w:val="001402D0"/>
    <w:rsid w:val="00142268"/>
    <w:rsid w:val="00147323"/>
    <w:rsid w:val="001513F5"/>
    <w:rsid w:val="00155AE2"/>
    <w:rsid w:val="0015731C"/>
    <w:rsid w:val="00157391"/>
    <w:rsid w:val="00160AC6"/>
    <w:rsid w:val="001643F2"/>
    <w:rsid w:val="001708DD"/>
    <w:rsid w:val="00171219"/>
    <w:rsid w:val="001726F2"/>
    <w:rsid w:val="001739C0"/>
    <w:rsid w:val="00174359"/>
    <w:rsid w:val="001769E6"/>
    <w:rsid w:val="00176C03"/>
    <w:rsid w:val="00177FF0"/>
    <w:rsid w:val="0018004E"/>
    <w:rsid w:val="00183DB4"/>
    <w:rsid w:val="00185542"/>
    <w:rsid w:val="001878D1"/>
    <w:rsid w:val="00187CDD"/>
    <w:rsid w:val="001926CC"/>
    <w:rsid w:val="00192DE8"/>
    <w:rsid w:val="00195F03"/>
    <w:rsid w:val="001A046F"/>
    <w:rsid w:val="001A162E"/>
    <w:rsid w:val="001A3571"/>
    <w:rsid w:val="001A6399"/>
    <w:rsid w:val="001B159D"/>
    <w:rsid w:val="001B1631"/>
    <w:rsid w:val="001B2461"/>
    <w:rsid w:val="001B2EFB"/>
    <w:rsid w:val="001B5D0A"/>
    <w:rsid w:val="001B5D91"/>
    <w:rsid w:val="001B63C0"/>
    <w:rsid w:val="001B68C8"/>
    <w:rsid w:val="001B7490"/>
    <w:rsid w:val="001C18B4"/>
    <w:rsid w:val="001C326D"/>
    <w:rsid w:val="001D0B19"/>
    <w:rsid w:val="001D1D53"/>
    <w:rsid w:val="001D4944"/>
    <w:rsid w:val="001D77E2"/>
    <w:rsid w:val="001E0493"/>
    <w:rsid w:val="001E059D"/>
    <w:rsid w:val="001E1219"/>
    <w:rsid w:val="001E4E8B"/>
    <w:rsid w:val="001E53F0"/>
    <w:rsid w:val="001E6635"/>
    <w:rsid w:val="001F0B11"/>
    <w:rsid w:val="001F3DA3"/>
    <w:rsid w:val="001F6430"/>
    <w:rsid w:val="001F6C69"/>
    <w:rsid w:val="00201F65"/>
    <w:rsid w:val="00203CA3"/>
    <w:rsid w:val="00205274"/>
    <w:rsid w:val="00206026"/>
    <w:rsid w:val="00214064"/>
    <w:rsid w:val="00222DBA"/>
    <w:rsid w:val="00224F65"/>
    <w:rsid w:val="002303E9"/>
    <w:rsid w:val="0023612E"/>
    <w:rsid w:val="00237D3F"/>
    <w:rsid w:val="00241C2E"/>
    <w:rsid w:val="00244D61"/>
    <w:rsid w:val="002535C7"/>
    <w:rsid w:val="00266638"/>
    <w:rsid w:val="002722A8"/>
    <w:rsid w:val="00284755"/>
    <w:rsid w:val="002864DB"/>
    <w:rsid w:val="00286548"/>
    <w:rsid w:val="00287F8D"/>
    <w:rsid w:val="00293D5B"/>
    <w:rsid w:val="00294060"/>
    <w:rsid w:val="002968BA"/>
    <w:rsid w:val="00296B07"/>
    <w:rsid w:val="002A2B73"/>
    <w:rsid w:val="002B0834"/>
    <w:rsid w:val="002B0BC6"/>
    <w:rsid w:val="002B259F"/>
    <w:rsid w:val="002C1392"/>
    <w:rsid w:val="002C335F"/>
    <w:rsid w:val="002C3735"/>
    <w:rsid w:val="002C6192"/>
    <w:rsid w:val="002C6F87"/>
    <w:rsid w:val="002C7885"/>
    <w:rsid w:val="002D1A91"/>
    <w:rsid w:val="002D2982"/>
    <w:rsid w:val="002D36CD"/>
    <w:rsid w:val="002D5585"/>
    <w:rsid w:val="002D7FD2"/>
    <w:rsid w:val="002E2526"/>
    <w:rsid w:val="002E6456"/>
    <w:rsid w:val="002E79BE"/>
    <w:rsid w:val="002E7C30"/>
    <w:rsid w:val="002F0F84"/>
    <w:rsid w:val="002F50C7"/>
    <w:rsid w:val="0030035D"/>
    <w:rsid w:val="0030079B"/>
    <w:rsid w:val="00300E39"/>
    <w:rsid w:val="00301AA3"/>
    <w:rsid w:val="00302ACA"/>
    <w:rsid w:val="00304B34"/>
    <w:rsid w:val="003066DB"/>
    <w:rsid w:val="00312C3C"/>
    <w:rsid w:val="00313D17"/>
    <w:rsid w:val="0031630B"/>
    <w:rsid w:val="00317921"/>
    <w:rsid w:val="00320572"/>
    <w:rsid w:val="00326B21"/>
    <w:rsid w:val="00330E7B"/>
    <w:rsid w:val="003318F4"/>
    <w:rsid w:val="00333666"/>
    <w:rsid w:val="00342196"/>
    <w:rsid w:val="00344ADB"/>
    <w:rsid w:val="003506A4"/>
    <w:rsid w:val="003513CB"/>
    <w:rsid w:val="00351431"/>
    <w:rsid w:val="0035179D"/>
    <w:rsid w:val="003553D6"/>
    <w:rsid w:val="00355F28"/>
    <w:rsid w:val="0036056A"/>
    <w:rsid w:val="00361377"/>
    <w:rsid w:val="00362E39"/>
    <w:rsid w:val="003755B8"/>
    <w:rsid w:val="00381090"/>
    <w:rsid w:val="003821E4"/>
    <w:rsid w:val="00383E85"/>
    <w:rsid w:val="00384BAE"/>
    <w:rsid w:val="00391B9D"/>
    <w:rsid w:val="003B1CEA"/>
    <w:rsid w:val="003B7773"/>
    <w:rsid w:val="003B781D"/>
    <w:rsid w:val="003C124F"/>
    <w:rsid w:val="003C2C1B"/>
    <w:rsid w:val="003C4CA2"/>
    <w:rsid w:val="003C7F27"/>
    <w:rsid w:val="003D23BB"/>
    <w:rsid w:val="003E25A8"/>
    <w:rsid w:val="003E279D"/>
    <w:rsid w:val="003E7A6F"/>
    <w:rsid w:val="003F1D1D"/>
    <w:rsid w:val="003F34BA"/>
    <w:rsid w:val="003F6919"/>
    <w:rsid w:val="003F6AC3"/>
    <w:rsid w:val="00401D6E"/>
    <w:rsid w:val="004050A9"/>
    <w:rsid w:val="004051C8"/>
    <w:rsid w:val="004057E6"/>
    <w:rsid w:val="004103E5"/>
    <w:rsid w:val="00412E92"/>
    <w:rsid w:val="00413111"/>
    <w:rsid w:val="00415269"/>
    <w:rsid w:val="004163FC"/>
    <w:rsid w:val="004212F3"/>
    <w:rsid w:val="00421326"/>
    <w:rsid w:val="00424A18"/>
    <w:rsid w:val="00425916"/>
    <w:rsid w:val="00427204"/>
    <w:rsid w:val="0043044F"/>
    <w:rsid w:val="00430784"/>
    <w:rsid w:val="0043358E"/>
    <w:rsid w:val="00434DF1"/>
    <w:rsid w:val="00434DF8"/>
    <w:rsid w:val="00434FCE"/>
    <w:rsid w:val="00437AEC"/>
    <w:rsid w:val="00440524"/>
    <w:rsid w:val="004407F3"/>
    <w:rsid w:val="00440D30"/>
    <w:rsid w:val="00444644"/>
    <w:rsid w:val="00445DBE"/>
    <w:rsid w:val="00446C04"/>
    <w:rsid w:val="00446DDD"/>
    <w:rsid w:val="00450E45"/>
    <w:rsid w:val="004510A7"/>
    <w:rsid w:val="00455DE1"/>
    <w:rsid w:val="00460D1E"/>
    <w:rsid w:val="00467C15"/>
    <w:rsid w:val="00467CA5"/>
    <w:rsid w:val="004707AA"/>
    <w:rsid w:val="004707DA"/>
    <w:rsid w:val="0047110A"/>
    <w:rsid w:val="00472801"/>
    <w:rsid w:val="00472C80"/>
    <w:rsid w:val="0047633D"/>
    <w:rsid w:val="004800B9"/>
    <w:rsid w:val="00482C77"/>
    <w:rsid w:val="00491A36"/>
    <w:rsid w:val="004929C2"/>
    <w:rsid w:val="0049598E"/>
    <w:rsid w:val="004A2856"/>
    <w:rsid w:val="004A7BB2"/>
    <w:rsid w:val="004A7C2F"/>
    <w:rsid w:val="004B0660"/>
    <w:rsid w:val="004B2AEE"/>
    <w:rsid w:val="004B5BDC"/>
    <w:rsid w:val="004B5FC4"/>
    <w:rsid w:val="004C38FC"/>
    <w:rsid w:val="004D0558"/>
    <w:rsid w:val="004D27C7"/>
    <w:rsid w:val="004E00BE"/>
    <w:rsid w:val="004E060F"/>
    <w:rsid w:val="004E22CC"/>
    <w:rsid w:val="004E63D3"/>
    <w:rsid w:val="004E667F"/>
    <w:rsid w:val="004F292E"/>
    <w:rsid w:val="004F6870"/>
    <w:rsid w:val="004F7038"/>
    <w:rsid w:val="004F7532"/>
    <w:rsid w:val="004F75D6"/>
    <w:rsid w:val="0050202C"/>
    <w:rsid w:val="00505A94"/>
    <w:rsid w:val="00506CFF"/>
    <w:rsid w:val="00506EA3"/>
    <w:rsid w:val="00512C15"/>
    <w:rsid w:val="00517A58"/>
    <w:rsid w:val="00517AB7"/>
    <w:rsid w:val="00525138"/>
    <w:rsid w:val="0052705E"/>
    <w:rsid w:val="00532FD7"/>
    <w:rsid w:val="0053675D"/>
    <w:rsid w:val="00537100"/>
    <w:rsid w:val="0054321F"/>
    <w:rsid w:val="005445AC"/>
    <w:rsid w:val="00545B0B"/>
    <w:rsid w:val="005471EE"/>
    <w:rsid w:val="005500CF"/>
    <w:rsid w:val="00550CC4"/>
    <w:rsid w:val="00551B14"/>
    <w:rsid w:val="00552257"/>
    <w:rsid w:val="005547F1"/>
    <w:rsid w:val="005613AB"/>
    <w:rsid w:val="00561FAC"/>
    <w:rsid w:val="00564B1A"/>
    <w:rsid w:val="00566DAB"/>
    <w:rsid w:val="00567809"/>
    <w:rsid w:val="00572E7D"/>
    <w:rsid w:val="00575783"/>
    <w:rsid w:val="00577D8B"/>
    <w:rsid w:val="00580102"/>
    <w:rsid w:val="00580D70"/>
    <w:rsid w:val="00581ACE"/>
    <w:rsid w:val="00587A80"/>
    <w:rsid w:val="00592F91"/>
    <w:rsid w:val="00596D50"/>
    <w:rsid w:val="005A235B"/>
    <w:rsid w:val="005A23C1"/>
    <w:rsid w:val="005A4C4E"/>
    <w:rsid w:val="005A6459"/>
    <w:rsid w:val="005A676A"/>
    <w:rsid w:val="005A6CF4"/>
    <w:rsid w:val="005A6EE4"/>
    <w:rsid w:val="005B42D8"/>
    <w:rsid w:val="005C6192"/>
    <w:rsid w:val="005C7FEE"/>
    <w:rsid w:val="005D1511"/>
    <w:rsid w:val="005D27B1"/>
    <w:rsid w:val="005D4F70"/>
    <w:rsid w:val="005E0415"/>
    <w:rsid w:val="005E1960"/>
    <w:rsid w:val="005E298C"/>
    <w:rsid w:val="005E3984"/>
    <w:rsid w:val="005E496A"/>
    <w:rsid w:val="005E62C8"/>
    <w:rsid w:val="005E6667"/>
    <w:rsid w:val="005F0AE4"/>
    <w:rsid w:val="005F7315"/>
    <w:rsid w:val="0060073A"/>
    <w:rsid w:val="00600C62"/>
    <w:rsid w:val="00606BC5"/>
    <w:rsid w:val="0061375C"/>
    <w:rsid w:val="00614B25"/>
    <w:rsid w:val="00615012"/>
    <w:rsid w:val="00617343"/>
    <w:rsid w:val="006317E5"/>
    <w:rsid w:val="00645471"/>
    <w:rsid w:val="00647713"/>
    <w:rsid w:val="00651314"/>
    <w:rsid w:val="00653AC5"/>
    <w:rsid w:val="00653EFE"/>
    <w:rsid w:val="00654F33"/>
    <w:rsid w:val="006561AE"/>
    <w:rsid w:val="00661CB7"/>
    <w:rsid w:val="00672E92"/>
    <w:rsid w:val="00675C5A"/>
    <w:rsid w:val="00675E14"/>
    <w:rsid w:val="00677102"/>
    <w:rsid w:val="006812C9"/>
    <w:rsid w:val="00683CED"/>
    <w:rsid w:val="0068638C"/>
    <w:rsid w:val="00687B2F"/>
    <w:rsid w:val="006923E5"/>
    <w:rsid w:val="006948A8"/>
    <w:rsid w:val="00695EB9"/>
    <w:rsid w:val="00697693"/>
    <w:rsid w:val="006A290F"/>
    <w:rsid w:val="006A4654"/>
    <w:rsid w:val="006A4FE7"/>
    <w:rsid w:val="006A59AE"/>
    <w:rsid w:val="006A7E77"/>
    <w:rsid w:val="006B0351"/>
    <w:rsid w:val="006B12B5"/>
    <w:rsid w:val="006B1621"/>
    <w:rsid w:val="006B242E"/>
    <w:rsid w:val="006B3439"/>
    <w:rsid w:val="006B3C7B"/>
    <w:rsid w:val="006B6913"/>
    <w:rsid w:val="006C25E5"/>
    <w:rsid w:val="006C6DDC"/>
    <w:rsid w:val="006C79B6"/>
    <w:rsid w:val="006D187F"/>
    <w:rsid w:val="006D1C48"/>
    <w:rsid w:val="006D1F3F"/>
    <w:rsid w:val="006D4175"/>
    <w:rsid w:val="006D52F7"/>
    <w:rsid w:val="006E58A1"/>
    <w:rsid w:val="006E5F43"/>
    <w:rsid w:val="006E7E43"/>
    <w:rsid w:val="006F15FD"/>
    <w:rsid w:val="006F29FC"/>
    <w:rsid w:val="006F4B97"/>
    <w:rsid w:val="006F56C7"/>
    <w:rsid w:val="0070406B"/>
    <w:rsid w:val="0070420A"/>
    <w:rsid w:val="0070503F"/>
    <w:rsid w:val="00706310"/>
    <w:rsid w:val="00712AF2"/>
    <w:rsid w:val="00712D4B"/>
    <w:rsid w:val="00713254"/>
    <w:rsid w:val="0071359C"/>
    <w:rsid w:val="00714D99"/>
    <w:rsid w:val="007157E7"/>
    <w:rsid w:val="00716F82"/>
    <w:rsid w:val="0072104D"/>
    <w:rsid w:val="007235DC"/>
    <w:rsid w:val="0072415E"/>
    <w:rsid w:val="007311E1"/>
    <w:rsid w:val="00732964"/>
    <w:rsid w:val="00732FCB"/>
    <w:rsid w:val="00733EDF"/>
    <w:rsid w:val="00737FD0"/>
    <w:rsid w:val="00740356"/>
    <w:rsid w:val="00743487"/>
    <w:rsid w:val="00743AF5"/>
    <w:rsid w:val="007440BE"/>
    <w:rsid w:val="00750E9D"/>
    <w:rsid w:val="0075114D"/>
    <w:rsid w:val="00751B6F"/>
    <w:rsid w:val="007546C6"/>
    <w:rsid w:val="00755E1D"/>
    <w:rsid w:val="00757CD6"/>
    <w:rsid w:val="00766FB6"/>
    <w:rsid w:val="0076741C"/>
    <w:rsid w:val="00772F71"/>
    <w:rsid w:val="00777BC4"/>
    <w:rsid w:val="00777DE8"/>
    <w:rsid w:val="00781C2A"/>
    <w:rsid w:val="007848A1"/>
    <w:rsid w:val="007932BF"/>
    <w:rsid w:val="00793890"/>
    <w:rsid w:val="00794D6A"/>
    <w:rsid w:val="007966D2"/>
    <w:rsid w:val="007A228F"/>
    <w:rsid w:val="007A24C6"/>
    <w:rsid w:val="007A3A90"/>
    <w:rsid w:val="007A48B9"/>
    <w:rsid w:val="007A53D8"/>
    <w:rsid w:val="007B2353"/>
    <w:rsid w:val="007B2BF7"/>
    <w:rsid w:val="007B72F5"/>
    <w:rsid w:val="007B7EC5"/>
    <w:rsid w:val="007C07B2"/>
    <w:rsid w:val="007C4096"/>
    <w:rsid w:val="007D184E"/>
    <w:rsid w:val="007D2531"/>
    <w:rsid w:val="007D47F2"/>
    <w:rsid w:val="007D5698"/>
    <w:rsid w:val="007D736C"/>
    <w:rsid w:val="007D7846"/>
    <w:rsid w:val="007E1ECA"/>
    <w:rsid w:val="007E2444"/>
    <w:rsid w:val="007E3DB2"/>
    <w:rsid w:val="007E7BA8"/>
    <w:rsid w:val="007F0EA8"/>
    <w:rsid w:val="007F17CD"/>
    <w:rsid w:val="007F1FB6"/>
    <w:rsid w:val="007F2A65"/>
    <w:rsid w:val="007F7908"/>
    <w:rsid w:val="007F7CD5"/>
    <w:rsid w:val="008028A9"/>
    <w:rsid w:val="0080386A"/>
    <w:rsid w:val="0080520F"/>
    <w:rsid w:val="0080545E"/>
    <w:rsid w:val="00807364"/>
    <w:rsid w:val="008074B9"/>
    <w:rsid w:val="00807C61"/>
    <w:rsid w:val="0081557C"/>
    <w:rsid w:val="00816604"/>
    <w:rsid w:val="00816A4E"/>
    <w:rsid w:val="008200B9"/>
    <w:rsid w:val="00821993"/>
    <w:rsid w:val="00822AD7"/>
    <w:rsid w:val="00823176"/>
    <w:rsid w:val="008266A1"/>
    <w:rsid w:val="008278EE"/>
    <w:rsid w:val="008304EA"/>
    <w:rsid w:val="00830A9C"/>
    <w:rsid w:val="00831331"/>
    <w:rsid w:val="00833A58"/>
    <w:rsid w:val="008369F1"/>
    <w:rsid w:val="008402CD"/>
    <w:rsid w:val="00842381"/>
    <w:rsid w:val="00844B5E"/>
    <w:rsid w:val="00844D8E"/>
    <w:rsid w:val="008516BE"/>
    <w:rsid w:val="00851E5D"/>
    <w:rsid w:val="0085229F"/>
    <w:rsid w:val="00854819"/>
    <w:rsid w:val="00854BC6"/>
    <w:rsid w:val="00856120"/>
    <w:rsid w:val="00867C93"/>
    <w:rsid w:val="008719CB"/>
    <w:rsid w:val="00871B5F"/>
    <w:rsid w:val="00873802"/>
    <w:rsid w:val="00876BA5"/>
    <w:rsid w:val="00877934"/>
    <w:rsid w:val="0087797C"/>
    <w:rsid w:val="0088009A"/>
    <w:rsid w:val="00880DC6"/>
    <w:rsid w:val="008823DE"/>
    <w:rsid w:val="00883064"/>
    <w:rsid w:val="0088598D"/>
    <w:rsid w:val="00886F08"/>
    <w:rsid w:val="00887171"/>
    <w:rsid w:val="0089054D"/>
    <w:rsid w:val="00895A54"/>
    <w:rsid w:val="00895DB7"/>
    <w:rsid w:val="00895E86"/>
    <w:rsid w:val="008A1425"/>
    <w:rsid w:val="008A2E64"/>
    <w:rsid w:val="008A4588"/>
    <w:rsid w:val="008B2030"/>
    <w:rsid w:val="008C5F64"/>
    <w:rsid w:val="008D1F82"/>
    <w:rsid w:val="008D1FB5"/>
    <w:rsid w:val="008D390A"/>
    <w:rsid w:val="008D5761"/>
    <w:rsid w:val="008D65B6"/>
    <w:rsid w:val="008D675C"/>
    <w:rsid w:val="008D7036"/>
    <w:rsid w:val="008E2C81"/>
    <w:rsid w:val="008E3EFA"/>
    <w:rsid w:val="008E5388"/>
    <w:rsid w:val="008F2863"/>
    <w:rsid w:val="008F328B"/>
    <w:rsid w:val="008F644A"/>
    <w:rsid w:val="00900868"/>
    <w:rsid w:val="009011FA"/>
    <w:rsid w:val="00902430"/>
    <w:rsid w:val="009037B0"/>
    <w:rsid w:val="00903C1B"/>
    <w:rsid w:val="009043A6"/>
    <w:rsid w:val="0090449F"/>
    <w:rsid w:val="009074A1"/>
    <w:rsid w:val="009100E1"/>
    <w:rsid w:val="0091363C"/>
    <w:rsid w:val="00917362"/>
    <w:rsid w:val="00922713"/>
    <w:rsid w:val="00922B76"/>
    <w:rsid w:val="0092540D"/>
    <w:rsid w:val="00927ACF"/>
    <w:rsid w:val="00930B05"/>
    <w:rsid w:val="00942A63"/>
    <w:rsid w:val="0094479A"/>
    <w:rsid w:val="009451C3"/>
    <w:rsid w:val="00946215"/>
    <w:rsid w:val="00950459"/>
    <w:rsid w:val="00952025"/>
    <w:rsid w:val="00952851"/>
    <w:rsid w:val="009548AD"/>
    <w:rsid w:val="00955B98"/>
    <w:rsid w:val="0095728F"/>
    <w:rsid w:val="0096080A"/>
    <w:rsid w:val="009618E0"/>
    <w:rsid w:val="0096196A"/>
    <w:rsid w:val="0096234E"/>
    <w:rsid w:val="00962FE1"/>
    <w:rsid w:val="00963DF0"/>
    <w:rsid w:val="00964AEE"/>
    <w:rsid w:val="00966E11"/>
    <w:rsid w:val="00970FE3"/>
    <w:rsid w:val="00980542"/>
    <w:rsid w:val="00980CAB"/>
    <w:rsid w:val="00981003"/>
    <w:rsid w:val="009829C3"/>
    <w:rsid w:val="00987602"/>
    <w:rsid w:val="009907FC"/>
    <w:rsid w:val="00991C03"/>
    <w:rsid w:val="00994F5C"/>
    <w:rsid w:val="00996A64"/>
    <w:rsid w:val="009972AC"/>
    <w:rsid w:val="009A1653"/>
    <w:rsid w:val="009A34E0"/>
    <w:rsid w:val="009A561F"/>
    <w:rsid w:val="009A7464"/>
    <w:rsid w:val="009A7576"/>
    <w:rsid w:val="009A7C34"/>
    <w:rsid w:val="009B0253"/>
    <w:rsid w:val="009B0806"/>
    <w:rsid w:val="009B1752"/>
    <w:rsid w:val="009B792E"/>
    <w:rsid w:val="009C67BB"/>
    <w:rsid w:val="009D00B1"/>
    <w:rsid w:val="009D2AD2"/>
    <w:rsid w:val="009D4BF0"/>
    <w:rsid w:val="009E0E92"/>
    <w:rsid w:val="009E2653"/>
    <w:rsid w:val="009E2689"/>
    <w:rsid w:val="009E4F7B"/>
    <w:rsid w:val="009E5862"/>
    <w:rsid w:val="009E624A"/>
    <w:rsid w:val="009E6614"/>
    <w:rsid w:val="009E6812"/>
    <w:rsid w:val="009F0761"/>
    <w:rsid w:val="009F2FC1"/>
    <w:rsid w:val="00A01CCE"/>
    <w:rsid w:val="00A06BCE"/>
    <w:rsid w:val="00A06E6D"/>
    <w:rsid w:val="00A170FB"/>
    <w:rsid w:val="00A242F7"/>
    <w:rsid w:val="00A269AF"/>
    <w:rsid w:val="00A33AE5"/>
    <w:rsid w:val="00A35AA7"/>
    <w:rsid w:val="00A412A3"/>
    <w:rsid w:val="00A439ED"/>
    <w:rsid w:val="00A4432E"/>
    <w:rsid w:val="00A463F1"/>
    <w:rsid w:val="00A515A8"/>
    <w:rsid w:val="00A53AFD"/>
    <w:rsid w:val="00A5690A"/>
    <w:rsid w:val="00A60616"/>
    <w:rsid w:val="00A60759"/>
    <w:rsid w:val="00A6075B"/>
    <w:rsid w:val="00A66219"/>
    <w:rsid w:val="00A67A4D"/>
    <w:rsid w:val="00A707C1"/>
    <w:rsid w:val="00A72438"/>
    <w:rsid w:val="00A72B68"/>
    <w:rsid w:val="00A72D76"/>
    <w:rsid w:val="00A74B5E"/>
    <w:rsid w:val="00A76439"/>
    <w:rsid w:val="00A76E31"/>
    <w:rsid w:val="00A76FF0"/>
    <w:rsid w:val="00A779EE"/>
    <w:rsid w:val="00A81C55"/>
    <w:rsid w:val="00A81CDF"/>
    <w:rsid w:val="00A8282F"/>
    <w:rsid w:val="00A82AD2"/>
    <w:rsid w:val="00A843BC"/>
    <w:rsid w:val="00A90EA1"/>
    <w:rsid w:val="00A92FFD"/>
    <w:rsid w:val="00A94AB7"/>
    <w:rsid w:val="00A95207"/>
    <w:rsid w:val="00A95B44"/>
    <w:rsid w:val="00A966FB"/>
    <w:rsid w:val="00AA0E5D"/>
    <w:rsid w:val="00AA1018"/>
    <w:rsid w:val="00AA2D9D"/>
    <w:rsid w:val="00AA3903"/>
    <w:rsid w:val="00AA4166"/>
    <w:rsid w:val="00AA4652"/>
    <w:rsid w:val="00AA46F4"/>
    <w:rsid w:val="00AA6112"/>
    <w:rsid w:val="00AA7D37"/>
    <w:rsid w:val="00AB581C"/>
    <w:rsid w:val="00AC1476"/>
    <w:rsid w:val="00AC531E"/>
    <w:rsid w:val="00AD07FD"/>
    <w:rsid w:val="00AD1EBF"/>
    <w:rsid w:val="00AD478A"/>
    <w:rsid w:val="00AE023D"/>
    <w:rsid w:val="00AE329A"/>
    <w:rsid w:val="00AE3654"/>
    <w:rsid w:val="00AF0725"/>
    <w:rsid w:val="00AF1EB8"/>
    <w:rsid w:val="00AF33BA"/>
    <w:rsid w:val="00AF53F7"/>
    <w:rsid w:val="00AF63F7"/>
    <w:rsid w:val="00B0514C"/>
    <w:rsid w:val="00B10326"/>
    <w:rsid w:val="00B105CD"/>
    <w:rsid w:val="00B10C75"/>
    <w:rsid w:val="00B135DA"/>
    <w:rsid w:val="00B14650"/>
    <w:rsid w:val="00B1648E"/>
    <w:rsid w:val="00B16B3B"/>
    <w:rsid w:val="00B17319"/>
    <w:rsid w:val="00B21F95"/>
    <w:rsid w:val="00B22B04"/>
    <w:rsid w:val="00B23EB5"/>
    <w:rsid w:val="00B25F10"/>
    <w:rsid w:val="00B265B4"/>
    <w:rsid w:val="00B326E5"/>
    <w:rsid w:val="00B332C1"/>
    <w:rsid w:val="00B335A2"/>
    <w:rsid w:val="00B35750"/>
    <w:rsid w:val="00B36C69"/>
    <w:rsid w:val="00B3741B"/>
    <w:rsid w:val="00B4384A"/>
    <w:rsid w:val="00B45B4F"/>
    <w:rsid w:val="00B4638B"/>
    <w:rsid w:val="00B46E44"/>
    <w:rsid w:val="00B50939"/>
    <w:rsid w:val="00B50A8E"/>
    <w:rsid w:val="00B535BD"/>
    <w:rsid w:val="00B56ABD"/>
    <w:rsid w:val="00B631FF"/>
    <w:rsid w:val="00B63956"/>
    <w:rsid w:val="00B646EE"/>
    <w:rsid w:val="00B64AFA"/>
    <w:rsid w:val="00B71127"/>
    <w:rsid w:val="00B73AB5"/>
    <w:rsid w:val="00B73B8A"/>
    <w:rsid w:val="00B77214"/>
    <w:rsid w:val="00B82D02"/>
    <w:rsid w:val="00B85DB9"/>
    <w:rsid w:val="00B870E7"/>
    <w:rsid w:val="00B878C5"/>
    <w:rsid w:val="00B90E8A"/>
    <w:rsid w:val="00B925FF"/>
    <w:rsid w:val="00B95D24"/>
    <w:rsid w:val="00B9797C"/>
    <w:rsid w:val="00BA0E66"/>
    <w:rsid w:val="00BA4AD7"/>
    <w:rsid w:val="00BA5E40"/>
    <w:rsid w:val="00BA63EC"/>
    <w:rsid w:val="00BA79C5"/>
    <w:rsid w:val="00BA7CE8"/>
    <w:rsid w:val="00BB0C34"/>
    <w:rsid w:val="00BB4135"/>
    <w:rsid w:val="00BB6D4F"/>
    <w:rsid w:val="00BC2C60"/>
    <w:rsid w:val="00BC382C"/>
    <w:rsid w:val="00BC6430"/>
    <w:rsid w:val="00BC660E"/>
    <w:rsid w:val="00BC7ABE"/>
    <w:rsid w:val="00BD5B32"/>
    <w:rsid w:val="00BD66E4"/>
    <w:rsid w:val="00BD763B"/>
    <w:rsid w:val="00BD77B7"/>
    <w:rsid w:val="00BD7A7A"/>
    <w:rsid w:val="00BD7D5B"/>
    <w:rsid w:val="00BE1869"/>
    <w:rsid w:val="00BF114F"/>
    <w:rsid w:val="00BF13A2"/>
    <w:rsid w:val="00BF3375"/>
    <w:rsid w:val="00BF6ED5"/>
    <w:rsid w:val="00C00288"/>
    <w:rsid w:val="00C01818"/>
    <w:rsid w:val="00C01ADF"/>
    <w:rsid w:val="00C01CB0"/>
    <w:rsid w:val="00C024D4"/>
    <w:rsid w:val="00C050E2"/>
    <w:rsid w:val="00C057B9"/>
    <w:rsid w:val="00C06750"/>
    <w:rsid w:val="00C06AE4"/>
    <w:rsid w:val="00C135DC"/>
    <w:rsid w:val="00C16683"/>
    <w:rsid w:val="00C17FB3"/>
    <w:rsid w:val="00C25206"/>
    <w:rsid w:val="00C256A1"/>
    <w:rsid w:val="00C35E67"/>
    <w:rsid w:val="00C36441"/>
    <w:rsid w:val="00C4034F"/>
    <w:rsid w:val="00C47A52"/>
    <w:rsid w:val="00C50372"/>
    <w:rsid w:val="00C520C6"/>
    <w:rsid w:val="00C54C3C"/>
    <w:rsid w:val="00C61F11"/>
    <w:rsid w:val="00C630AD"/>
    <w:rsid w:val="00C644B1"/>
    <w:rsid w:val="00C65FD5"/>
    <w:rsid w:val="00C70E6B"/>
    <w:rsid w:val="00C70EBB"/>
    <w:rsid w:val="00C72571"/>
    <w:rsid w:val="00C75A83"/>
    <w:rsid w:val="00C8181E"/>
    <w:rsid w:val="00C8249C"/>
    <w:rsid w:val="00C85CC9"/>
    <w:rsid w:val="00C863BB"/>
    <w:rsid w:val="00C86F0C"/>
    <w:rsid w:val="00C9123B"/>
    <w:rsid w:val="00C913B5"/>
    <w:rsid w:val="00C96310"/>
    <w:rsid w:val="00CA236C"/>
    <w:rsid w:val="00CA3FF8"/>
    <w:rsid w:val="00CA580B"/>
    <w:rsid w:val="00CB1526"/>
    <w:rsid w:val="00CB2E8A"/>
    <w:rsid w:val="00CB3501"/>
    <w:rsid w:val="00CB78AA"/>
    <w:rsid w:val="00CD3B6D"/>
    <w:rsid w:val="00CD40B9"/>
    <w:rsid w:val="00CD7463"/>
    <w:rsid w:val="00CD7798"/>
    <w:rsid w:val="00CE07ED"/>
    <w:rsid w:val="00CE10F8"/>
    <w:rsid w:val="00CE264E"/>
    <w:rsid w:val="00CE34BF"/>
    <w:rsid w:val="00CF048D"/>
    <w:rsid w:val="00CF14C0"/>
    <w:rsid w:val="00CF3D9B"/>
    <w:rsid w:val="00D04716"/>
    <w:rsid w:val="00D0532A"/>
    <w:rsid w:val="00D07DFA"/>
    <w:rsid w:val="00D10A44"/>
    <w:rsid w:val="00D10F7C"/>
    <w:rsid w:val="00D11775"/>
    <w:rsid w:val="00D1181D"/>
    <w:rsid w:val="00D128B0"/>
    <w:rsid w:val="00D13355"/>
    <w:rsid w:val="00D13EF2"/>
    <w:rsid w:val="00D168F6"/>
    <w:rsid w:val="00D213A9"/>
    <w:rsid w:val="00D223FB"/>
    <w:rsid w:val="00D25908"/>
    <w:rsid w:val="00D26D58"/>
    <w:rsid w:val="00D34271"/>
    <w:rsid w:val="00D352FB"/>
    <w:rsid w:val="00D41CF6"/>
    <w:rsid w:val="00D43B1F"/>
    <w:rsid w:val="00D4462D"/>
    <w:rsid w:val="00D45665"/>
    <w:rsid w:val="00D46DD1"/>
    <w:rsid w:val="00D47029"/>
    <w:rsid w:val="00D472A3"/>
    <w:rsid w:val="00D55EDF"/>
    <w:rsid w:val="00D56492"/>
    <w:rsid w:val="00D631B0"/>
    <w:rsid w:val="00D63F7C"/>
    <w:rsid w:val="00D64D20"/>
    <w:rsid w:val="00D65639"/>
    <w:rsid w:val="00D72337"/>
    <w:rsid w:val="00D752EA"/>
    <w:rsid w:val="00D75D13"/>
    <w:rsid w:val="00D77342"/>
    <w:rsid w:val="00D77494"/>
    <w:rsid w:val="00D81613"/>
    <w:rsid w:val="00D837BB"/>
    <w:rsid w:val="00D8603C"/>
    <w:rsid w:val="00D932EA"/>
    <w:rsid w:val="00D973F5"/>
    <w:rsid w:val="00DA0B71"/>
    <w:rsid w:val="00DA206A"/>
    <w:rsid w:val="00DA2E5B"/>
    <w:rsid w:val="00DA49F8"/>
    <w:rsid w:val="00DA4F0B"/>
    <w:rsid w:val="00DA6015"/>
    <w:rsid w:val="00DA6C0F"/>
    <w:rsid w:val="00DA7DC1"/>
    <w:rsid w:val="00DB0680"/>
    <w:rsid w:val="00DB0D19"/>
    <w:rsid w:val="00DB2B7D"/>
    <w:rsid w:val="00DB3B49"/>
    <w:rsid w:val="00DB47F2"/>
    <w:rsid w:val="00DB6231"/>
    <w:rsid w:val="00DC0B15"/>
    <w:rsid w:val="00DC545C"/>
    <w:rsid w:val="00DC5AAE"/>
    <w:rsid w:val="00DC60F3"/>
    <w:rsid w:val="00DE79CC"/>
    <w:rsid w:val="00DF2CD6"/>
    <w:rsid w:val="00DF5AC1"/>
    <w:rsid w:val="00E04099"/>
    <w:rsid w:val="00E0539C"/>
    <w:rsid w:val="00E12D8E"/>
    <w:rsid w:val="00E155BA"/>
    <w:rsid w:val="00E15DEC"/>
    <w:rsid w:val="00E16086"/>
    <w:rsid w:val="00E26760"/>
    <w:rsid w:val="00E26D5D"/>
    <w:rsid w:val="00E32542"/>
    <w:rsid w:val="00E377B9"/>
    <w:rsid w:val="00E425BF"/>
    <w:rsid w:val="00E4291A"/>
    <w:rsid w:val="00E42BFC"/>
    <w:rsid w:val="00E45296"/>
    <w:rsid w:val="00E53A27"/>
    <w:rsid w:val="00E55342"/>
    <w:rsid w:val="00E576EF"/>
    <w:rsid w:val="00E57963"/>
    <w:rsid w:val="00E610B2"/>
    <w:rsid w:val="00E62060"/>
    <w:rsid w:val="00E622EE"/>
    <w:rsid w:val="00E63B07"/>
    <w:rsid w:val="00E709F4"/>
    <w:rsid w:val="00E74A40"/>
    <w:rsid w:val="00E7688A"/>
    <w:rsid w:val="00E7763C"/>
    <w:rsid w:val="00E77824"/>
    <w:rsid w:val="00E77A37"/>
    <w:rsid w:val="00E816E6"/>
    <w:rsid w:val="00E82192"/>
    <w:rsid w:val="00E862EB"/>
    <w:rsid w:val="00E91F6C"/>
    <w:rsid w:val="00E940AE"/>
    <w:rsid w:val="00E94A4E"/>
    <w:rsid w:val="00EA07A0"/>
    <w:rsid w:val="00EA30BC"/>
    <w:rsid w:val="00EA6A69"/>
    <w:rsid w:val="00EA6C35"/>
    <w:rsid w:val="00EB176A"/>
    <w:rsid w:val="00EB5FC4"/>
    <w:rsid w:val="00EB7AF1"/>
    <w:rsid w:val="00EC1C0A"/>
    <w:rsid w:val="00EC41D1"/>
    <w:rsid w:val="00EC68D5"/>
    <w:rsid w:val="00EC7D8E"/>
    <w:rsid w:val="00ED1D4E"/>
    <w:rsid w:val="00ED211D"/>
    <w:rsid w:val="00EE10CA"/>
    <w:rsid w:val="00EE1B46"/>
    <w:rsid w:val="00EF1CEF"/>
    <w:rsid w:val="00EF1D92"/>
    <w:rsid w:val="00EF268C"/>
    <w:rsid w:val="00EF3A16"/>
    <w:rsid w:val="00EF4439"/>
    <w:rsid w:val="00F03EAF"/>
    <w:rsid w:val="00F06722"/>
    <w:rsid w:val="00F0735D"/>
    <w:rsid w:val="00F07697"/>
    <w:rsid w:val="00F07907"/>
    <w:rsid w:val="00F10D95"/>
    <w:rsid w:val="00F12318"/>
    <w:rsid w:val="00F1249D"/>
    <w:rsid w:val="00F14447"/>
    <w:rsid w:val="00F173CE"/>
    <w:rsid w:val="00F25C6B"/>
    <w:rsid w:val="00F30C04"/>
    <w:rsid w:val="00F30D01"/>
    <w:rsid w:val="00F409F4"/>
    <w:rsid w:val="00F42D97"/>
    <w:rsid w:val="00F45B92"/>
    <w:rsid w:val="00F45D1A"/>
    <w:rsid w:val="00F470C9"/>
    <w:rsid w:val="00F47651"/>
    <w:rsid w:val="00F47B23"/>
    <w:rsid w:val="00F529AD"/>
    <w:rsid w:val="00F5620E"/>
    <w:rsid w:val="00F56374"/>
    <w:rsid w:val="00F5694B"/>
    <w:rsid w:val="00F61894"/>
    <w:rsid w:val="00F638B0"/>
    <w:rsid w:val="00F641B5"/>
    <w:rsid w:val="00F650CE"/>
    <w:rsid w:val="00F7002D"/>
    <w:rsid w:val="00F72E2A"/>
    <w:rsid w:val="00F82629"/>
    <w:rsid w:val="00F866E2"/>
    <w:rsid w:val="00F87765"/>
    <w:rsid w:val="00F92F50"/>
    <w:rsid w:val="00F93E15"/>
    <w:rsid w:val="00F94D3E"/>
    <w:rsid w:val="00F95B6B"/>
    <w:rsid w:val="00F969E8"/>
    <w:rsid w:val="00FA11A0"/>
    <w:rsid w:val="00FA1A9B"/>
    <w:rsid w:val="00FA6800"/>
    <w:rsid w:val="00FA7BC4"/>
    <w:rsid w:val="00FB0E4B"/>
    <w:rsid w:val="00FB1DBC"/>
    <w:rsid w:val="00FB2D25"/>
    <w:rsid w:val="00FB306F"/>
    <w:rsid w:val="00FB32C7"/>
    <w:rsid w:val="00FB35A4"/>
    <w:rsid w:val="00FB485C"/>
    <w:rsid w:val="00FB6ADD"/>
    <w:rsid w:val="00FC006C"/>
    <w:rsid w:val="00FC1E9A"/>
    <w:rsid w:val="00FC2853"/>
    <w:rsid w:val="00FC3EBE"/>
    <w:rsid w:val="00FC706F"/>
    <w:rsid w:val="00FD1F8F"/>
    <w:rsid w:val="00FD4ED5"/>
    <w:rsid w:val="00FE1D1B"/>
    <w:rsid w:val="00FE2C99"/>
    <w:rsid w:val="00FE3114"/>
    <w:rsid w:val="00FE79B8"/>
    <w:rsid w:val="00FF08C5"/>
    <w:rsid w:val="00FF1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3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59"/>
    <w:pPr>
      <w:overflowPunct w:val="0"/>
      <w:autoSpaceDE w:val="0"/>
      <w:autoSpaceDN w:val="0"/>
      <w:adjustRightInd w:val="0"/>
      <w:textAlignment w:val="baseline"/>
    </w:pPr>
    <w:rPr>
      <w:sz w:val="24"/>
    </w:rPr>
  </w:style>
  <w:style w:type="paragraph" w:styleId="Heading1">
    <w:name w:val="heading 1"/>
    <w:basedOn w:val="Normal"/>
    <w:next w:val="Normal"/>
    <w:qFormat/>
    <w:rsid w:val="00950459"/>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0459"/>
    <w:pPr>
      <w:tabs>
        <w:tab w:val="center" w:pos="4320"/>
        <w:tab w:val="right" w:pos="8640"/>
      </w:tabs>
    </w:pPr>
  </w:style>
  <w:style w:type="paragraph" w:styleId="Header">
    <w:name w:val="header"/>
    <w:aliases w:val="header-odd"/>
    <w:basedOn w:val="Normal"/>
    <w:link w:val="HeaderChar"/>
    <w:rsid w:val="00950459"/>
    <w:pPr>
      <w:tabs>
        <w:tab w:val="center" w:pos="4320"/>
        <w:tab w:val="right" w:pos="8640"/>
      </w:tabs>
    </w:pPr>
  </w:style>
  <w:style w:type="paragraph" w:customStyle="1" w:styleId="AssetsLiab">
    <w:name w:val="AssetsLiab"/>
    <w:aliases w:val="al"/>
    <w:basedOn w:val="FS1"/>
    <w:next w:val="FS1"/>
    <w:rsid w:val="00950459"/>
    <w:rPr>
      <w:sz w:val="28"/>
    </w:rPr>
  </w:style>
  <w:style w:type="paragraph" w:customStyle="1" w:styleId="FS1">
    <w:name w:val="FS1"/>
    <w:basedOn w:val="Normal"/>
    <w:link w:val="FS1Char1"/>
    <w:rsid w:val="00950459"/>
    <w:pPr>
      <w:tabs>
        <w:tab w:val="decimal" w:pos="7280"/>
        <w:tab w:val="decimal" w:pos="9000"/>
      </w:tabs>
      <w:ind w:left="180" w:hanging="180"/>
    </w:pPr>
    <w:rPr>
      <w:sz w:val="20"/>
    </w:rPr>
  </w:style>
  <w:style w:type="paragraph" w:customStyle="1" w:styleId="AuditBody">
    <w:name w:val="AuditBody"/>
    <w:aliases w:val="ab,Audit Body"/>
    <w:basedOn w:val="Normal"/>
    <w:rsid w:val="00950459"/>
    <w:pPr>
      <w:spacing w:before="120" w:line="280" w:lineRule="atLeast"/>
      <w:jc w:val="both"/>
    </w:pPr>
    <w:rPr>
      <w:sz w:val="20"/>
    </w:rPr>
  </w:style>
  <w:style w:type="paragraph" w:customStyle="1" w:styleId="AuditTitle">
    <w:name w:val="AuditTitle"/>
    <w:aliases w:val="at"/>
    <w:basedOn w:val="AuditBody"/>
    <w:next w:val="AuditBody"/>
    <w:rsid w:val="00950459"/>
    <w:pPr>
      <w:spacing w:after="360"/>
    </w:pPr>
    <w:rPr>
      <w:b/>
      <w:caps/>
      <w:sz w:val="28"/>
    </w:rPr>
  </w:style>
  <w:style w:type="paragraph" w:customStyle="1" w:styleId="DFS1">
    <w:name w:val="DFS1"/>
    <w:basedOn w:val="FS1"/>
    <w:next w:val="FS1"/>
    <w:rsid w:val="00950459"/>
    <w:pPr>
      <w:tabs>
        <w:tab w:val="left" w:pos="6200"/>
        <w:tab w:val="left" w:pos="7920"/>
      </w:tabs>
    </w:pPr>
  </w:style>
  <w:style w:type="paragraph" w:customStyle="1" w:styleId="FS2">
    <w:name w:val="FS2"/>
    <w:basedOn w:val="FS1"/>
    <w:link w:val="FS2Char"/>
    <w:rsid w:val="00950459"/>
    <w:pPr>
      <w:ind w:left="540"/>
    </w:pPr>
  </w:style>
  <w:style w:type="paragraph" w:customStyle="1" w:styleId="FS3">
    <w:name w:val="FS3"/>
    <w:basedOn w:val="FS2"/>
    <w:rsid w:val="00950459"/>
    <w:pPr>
      <w:ind w:left="900"/>
    </w:pPr>
  </w:style>
  <w:style w:type="paragraph" w:customStyle="1" w:styleId="FS4">
    <w:name w:val="FS4"/>
    <w:basedOn w:val="FS3"/>
    <w:rsid w:val="00950459"/>
    <w:pPr>
      <w:ind w:left="1260"/>
    </w:pPr>
  </w:style>
  <w:style w:type="paragraph" w:customStyle="1" w:styleId="FSName">
    <w:name w:val="FSName"/>
    <w:aliases w:val="fsn"/>
    <w:basedOn w:val="Normal"/>
    <w:next w:val="FSTitle"/>
    <w:rsid w:val="00950459"/>
    <w:pPr>
      <w:spacing w:before="280" w:line="280" w:lineRule="atLeast"/>
      <w:ind w:left="1800"/>
      <w:jc w:val="both"/>
    </w:pPr>
    <w:rPr>
      <w:b/>
      <w:caps/>
      <w:sz w:val="36"/>
    </w:rPr>
  </w:style>
  <w:style w:type="paragraph" w:customStyle="1" w:styleId="FSTitle">
    <w:name w:val="FSTitle"/>
    <w:aliases w:val="fst"/>
    <w:basedOn w:val="Normal"/>
    <w:rsid w:val="00950459"/>
    <w:pPr>
      <w:spacing w:before="120" w:line="280" w:lineRule="atLeast"/>
      <w:ind w:left="1800"/>
      <w:jc w:val="both"/>
    </w:pPr>
    <w:rPr>
      <w:sz w:val="20"/>
    </w:rPr>
  </w:style>
  <w:style w:type="paragraph" w:customStyle="1" w:styleId="DFS2">
    <w:name w:val="DFS2"/>
    <w:basedOn w:val="DFS1"/>
    <w:next w:val="FS2"/>
    <w:rsid w:val="00950459"/>
    <w:pPr>
      <w:ind w:left="540"/>
    </w:pPr>
  </w:style>
  <w:style w:type="paragraph" w:customStyle="1" w:styleId="DFS3">
    <w:name w:val="DFS3"/>
    <w:basedOn w:val="DFS2"/>
    <w:next w:val="FS3"/>
    <w:rsid w:val="00950459"/>
    <w:pPr>
      <w:ind w:left="900"/>
    </w:pPr>
  </w:style>
  <w:style w:type="paragraph" w:customStyle="1" w:styleId="DFS4">
    <w:name w:val="DFS4"/>
    <w:basedOn w:val="DFS3"/>
    <w:next w:val="FS4"/>
    <w:rsid w:val="00950459"/>
    <w:pPr>
      <w:ind w:left="1260"/>
    </w:pPr>
  </w:style>
  <w:style w:type="paragraph" w:customStyle="1" w:styleId="Top1">
    <w:name w:val="Top1"/>
    <w:basedOn w:val="FS1"/>
    <w:next w:val="TT1"/>
    <w:rsid w:val="00950459"/>
    <w:pPr>
      <w:pBdr>
        <w:top w:val="single" w:sz="12" w:space="0" w:color="auto"/>
      </w:pBdr>
      <w:spacing w:before="20" w:after="20" w:line="240" w:lineRule="exact"/>
      <w:ind w:left="187" w:hanging="187"/>
    </w:pPr>
  </w:style>
  <w:style w:type="paragraph" w:customStyle="1" w:styleId="TT1">
    <w:name w:val="TT1"/>
    <w:basedOn w:val="FS1"/>
    <w:next w:val="FS1"/>
    <w:rsid w:val="00950459"/>
    <w:pPr>
      <w:pBdr>
        <w:top w:val="single" w:sz="6" w:space="0" w:color="auto"/>
      </w:pBdr>
      <w:spacing w:before="20" w:line="220" w:lineRule="atLeast"/>
    </w:pPr>
  </w:style>
  <w:style w:type="paragraph" w:customStyle="1" w:styleId="Top2">
    <w:name w:val="Top2"/>
    <w:basedOn w:val="FS2"/>
    <w:next w:val="TT2"/>
    <w:rsid w:val="00950459"/>
    <w:pPr>
      <w:pBdr>
        <w:top w:val="single" w:sz="12" w:space="0" w:color="auto"/>
      </w:pBdr>
      <w:spacing w:before="20" w:after="20"/>
    </w:pPr>
  </w:style>
  <w:style w:type="paragraph" w:customStyle="1" w:styleId="TT2">
    <w:name w:val="TT2"/>
    <w:basedOn w:val="FS2"/>
    <w:next w:val="FS1"/>
    <w:rsid w:val="00950459"/>
    <w:pPr>
      <w:pBdr>
        <w:top w:val="single" w:sz="6" w:space="0" w:color="auto"/>
      </w:pBdr>
      <w:spacing w:before="20" w:line="220" w:lineRule="atLeast"/>
    </w:pPr>
  </w:style>
  <w:style w:type="paragraph" w:customStyle="1" w:styleId="AuditAddressee">
    <w:name w:val="AuditAddressee"/>
    <w:aliases w:val="aa"/>
    <w:basedOn w:val="Normal"/>
    <w:rsid w:val="00950459"/>
    <w:pPr>
      <w:keepNext/>
      <w:spacing w:line="280" w:lineRule="atLeast"/>
    </w:pPr>
    <w:rPr>
      <w:sz w:val="20"/>
    </w:rPr>
  </w:style>
  <w:style w:type="paragraph" w:customStyle="1" w:styleId="Top3">
    <w:name w:val="Top3"/>
    <w:basedOn w:val="FS3"/>
    <w:next w:val="TT3"/>
    <w:rsid w:val="00950459"/>
    <w:pPr>
      <w:pBdr>
        <w:top w:val="single" w:sz="12" w:space="0" w:color="auto"/>
      </w:pBdr>
      <w:spacing w:before="20" w:after="20"/>
    </w:pPr>
  </w:style>
  <w:style w:type="paragraph" w:customStyle="1" w:styleId="TT3">
    <w:name w:val="TT3"/>
    <w:basedOn w:val="FS3"/>
    <w:next w:val="FS2"/>
    <w:rsid w:val="00950459"/>
    <w:pPr>
      <w:pBdr>
        <w:top w:val="single" w:sz="6" w:space="0" w:color="auto"/>
      </w:pBdr>
      <w:spacing w:before="20" w:line="220" w:lineRule="atLeast"/>
    </w:pPr>
  </w:style>
  <w:style w:type="paragraph" w:customStyle="1" w:styleId="np1h">
    <w:name w:val="np1 + h"/>
    <w:basedOn w:val="Normal"/>
    <w:rsid w:val="00950459"/>
    <w:pPr>
      <w:spacing w:before="240"/>
      <w:ind w:left="720" w:hanging="720"/>
    </w:pPr>
    <w:rPr>
      <w:b/>
      <w:vanish/>
    </w:rPr>
  </w:style>
  <w:style w:type="paragraph" w:customStyle="1" w:styleId="Top4">
    <w:name w:val="Top4"/>
    <w:basedOn w:val="FS4"/>
    <w:next w:val="TT4"/>
    <w:rsid w:val="00950459"/>
    <w:pPr>
      <w:pBdr>
        <w:top w:val="single" w:sz="12" w:space="0" w:color="auto"/>
      </w:pBdr>
      <w:spacing w:before="20" w:after="20"/>
    </w:pPr>
  </w:style>
  <w:style w:type="paragraph" w:customStyle="1" w:styleId="TT4">
    <w:name w:val="TT4"/>
    <w:basedOn w:val="FS4"/>
    <w:next w:val="FS3"/>
    <w:rsid w:val="00950459"/>
    <w:pPr>
      <w:pBdr>
        <w:top w:val="single" w:sz="6" w:space="0" w:color="auto"/>
      </w:pBdr>
      <w:spacing w:before="20" w:line="220" w:lineRule="atLeast"/>
    </w:pPr>
  </w:style>
  <w:style w:type="paragraph" w:customStyle="1" w:styleId="bdh">
    <w:name w:val="bd +h"/>
    <w:basedOn w:val="Normal"/>
    <w:rsid w:val="00950459"/>
    <w:pPr>
      <w:spacing w:before="240"/>
    </w:pPr>
    <w:rPr>
      <w:b/>
      <w:vanish/>
    </w:rPr>
  </w:style>
  <w:style w:type="paragraph" w:customStyle="1" w:styleId="DTT1">
    <w:name w:val="DTT1"/>
    <w:basedOn w:val="DFS1"/>
    <w:next w:val="Top1"/>
    <w:rsid w:val="00950459"/>
    <w:pPr>
      <w:pBdr>
        <w:top w:val="single" w:sz="6" w:space="0" w:color="auto"/>
      </w:pBdr>
      <w:spacing w:before="20" w:line="220" w:lineRule="atLeast"/>
    </w:pPr>
  </w:style>
  <w:style w:type="paragraph" w:customStyle="1" w:styleId="DTT2">
    <w:name w:val="DTT2"/>
    <w:basedOn w:val="DFS2"/>
    <w:next w:val="Top2"/>
    <w:rsid w:val="00950459"/>
    <w:pPr>
      <w:pBdr>
        <w:top w:val="single" w:sz="6" w:space="0" w:color="auto"/>
      </w:pBdr>
      <w:spacing w:before="20" w:line="220" w:lineRule="atLeast"/>
    </w:pPr>
  </w:style>
  <w:style w:type="paragraph" w:customStyle="1" w:styleId="DTT3">
    <w:name w:val="DTT3"/>
    <w:basedOn w:val="DFS3"/>
    <w:next w:val="Top3"/>
    <w:rsid w:val="00950459"/>
    <w:pPr>
      <w:pBdr>
        <w:top w:val="single" w:sz="6" w:space="0" w:color="auto"/>
      </w:pBdr>
      <w:spacing w:before="20" w:line="220" w:lineRule="atLeast"/>
    </w:pPr>
  </w:style>
  <w:style w:type="paragraph" w:customStyle="1" w:styleId="DTT4">
    <w:name w:val="DTT4"/>
    <w:basedOn w:val="DFS4"/>
    <w:next w:val="Top4"/>
    <w:rsid w:val="00950459"/>
    <w:pPr>
      <w:pBdr>
        <w:top w:val="single" w:sz="6" w:space="0" w:color="auto"/>
      </w:pBdr>
      <w:spacing w:before="20" w:line="220" w:lineRule="atLeast"/>
    </w:pPr>
  </w:style>
  <w:style w:type="paragraph" w:customStyle="1" w:styleId="Earnings">
    <w:name w:val="Earnings"/>
    <w:aliases w:val="eps"/>
    <w:basedOn w:val="DFS2"/>
    <w:rsid w:val="00950459"/>
    <w:pPr>
      <w:tabs>
        <w:tab w:val="right" w:pos="7280"/>
        <w:tab w:val="right" w:pos="9000"/>
      </w:tabs>
    </w:pPr>
  </w:style>
  <w:style w:type="paragraph" w:customStyle="1" w:styleId="Name">
    <w:name w:val="Name"/>
    <w:basedOn w:val="Normal"/>
    <w:next w:val="FS1"/>
    <w:rsid w:val="00950459"/>
    <w:pPr>
      <w:tabs>
        <w:tab w:val="decimal" w:pos="6120"/>
        <w:tab w:val="decimal" w:pos="7830"/>
      </w:tabs>
      <w:ind w:left="180" w:hanging="180"/>
    </w:pPr>
    <w:rPr>
      <w:b/>
      <w:caps/>
      <w:sz w:val="36"/>
    </w:rPr>
  </w:style>
  <w:style w:type="paragraph" w:customStyle="1" w:styleId="RateTable">
    <w:name w:val="RateTable"/>
    <w:aliases w:val="rt"/>
    <w:basedOn w:val="FS2"/>
    <w:rsid w:val="00950459"/>
    <w:pPr>
      <w:tabs>
        <w:tab w:val="right" w:pos="9000"/>
      </w:tabs>
    </w:pPr>
  </w:style>
  <w:style w:type="paragraph" w:customStyle="1" w:styleId="Ne1">
    <w:name w:val="Ne1"/>
    <w:basedOn w:val="FS1"/>
    <w:next w:val="Ne2"/>
    <w:link w:val="Ne1Char1"/>
    <w:rsid w:val="00950459"/>
    <w:pPr>
      <w:tabs>
        <w:tab w:val="clear" w:pos="7280"/>
        <w:tab w:val="clear" w:pos="9000"/>
        <w:tab w:val="left" w:pos="360"/>
      </w:tabs>
      <w:spacing w:before="120" w:line="280" w:lineRule="atLeast"/>
      <w:ind w:left="0" w:firstLine="0"/>
    </w:pPr>
    <w:rPr>
      <w:b/>
    </w:rPr>
  </w:style>
  <w:style w:type="paragraph" w:customStyle="1" w:styleId="Ne2">
    <w:name w:val="Ne2"/>
    <w:basedOn w:val="Ne1"/>
    <w:link w:val="Ne2Char1"/>
    <w:rsid w:val="00950459"/>
    <w:pPr>
      <w:tabs>
        <w:tab w:val="clear" w:pos="360"/>
      </w:tabs>
      <w:ind w:left="360"/>
      <w:jc w:val="both"/>
    </w:pPr>
    <w:rPr>
      <w:b w:val="0"/>
    </w:rPr>
  </w:style>
  <w:style w:type="paragraph" w:customStyle="1" w:styleId="Ne3">
    <w:name w:val="Ne3"/>
    <w:basedOn w:val="Ne2"/>
    <w:rsid w:val="00950459"/>
    <w:pPr>
      <w:ind w:left="720"/>
    </w:pPr>
  </w:style>
  <w:style w:type="paragraph" w:customStyle="1" w:styleId="dfds2">
    <w:name w:val="dfds2"/>
    <w:basedOn w:val="FS1"/>
    <w:rsid w:val="00950459"/>
  </w:style>
  <w:style w:type="paragraph" w:customStyle="1" w:styleId="fs">
    <w:name w:val="fs"/>
    <w:basedOn w:val="TT1"/>
    <w:rsid w:val="00950459"/>
  </w:style>
  <w:style w:type="paragraph" w:customStyle="1" w:styleId="dfsd3">
    <w:name w:val="dfsd3"/>
    <w:basedOn w:val="FS2"/>
    <w:rsid w:val="00950459"/>
  </w:style>
  <w:style w:type="paragraph" w:styleId="Signature">
    <w:name w:val="Signature"/>
    <w:basedOn w:val="Normal"/>
    <w:rsid w:val="00950459"/>
    <w:pPr>
      <w:ind w:left="4320"/>
    </w:pPr>
  </w:style>
  <w:style w:type="character" w:styleId="PageNumber">
    <w:name w:val="page number"/>
    <w:basedOn w:val="DefaultParagraphFont"/>
    <w:rsid w:val="00950459"/>
  </w:style>
  <w:style w:type="paragraph" w:customStyle="1" w:styleId="f1">
    <w:name w:val="f1"/>
    <w:basedOn w:val="FS3"/>
    <w:rsid w:val="00950459"/>
    <w:pPr>
      <w:tabs>
        <w:tab w:val="clear" w:pos="7280"/>
        <w:tab w:val="decimal" w:pos="3960"/>
        <w:tab w:val="decimal" w:pos="5220"/>
        <w:tab w:val="decimal" w:pos="6480"/>
        <w:tab w:val="decimal" w:pos="7740"/>
      </w:tabs>
    </w:pPr>
    <w:rPr>
      <w:sz w:val="18"/>
    </w:rPr>
  </w:style>
  <w:style w:type="paragraph" w:customStyle="1" w:styleId="to3">
    <w:name w:val="to3"/>
    <w:basedOn w:val="FS3"/>
    <w:rsid w:val="00950459"/>
  </w:style>
  <w:style w:type="paragraph" w:customStyle="1" w:styleId="ne34">
    <w:name w:val="ne34"/>
    <w:basedOn w:val="Ne2"/>
    <w:rsid w:val="00950459"/>
  </w:style>
  <w:style w:type="paragraph" w:customStyle="1" w:styleId="en2">
    <w:name w:val="en2"/>
    <w:basedOn w:val="Ne3"/>
    <w:rsid w:val="00950459"/>
  </w:style>
  <w:style w:type="paragraph" w:customStyle="1" w:styleId="top23">
    <w:name w:val="top23"/>
    <w:basedOn w:val="Ne2"/>
    <w:rsid w:val="00950459"/>
  </w:style>
  <w:style w:type="paragraph" w:customStyle="1" w:styleId="dfsd1">
    <w:name w:val="dfsd1"/>
    <w:basedOn w:val="DFS2"/>
    <w:rsid w:val="00950459"/>
  </w:style>
  <w:style w:type="paragraph" w:customStyle="1" w:styleId="dtt">
    <w:name w:val="dtt`"/>
    <w:basedOn w:val="DTT2"/>
    <w:rsid w:val="00950459"/>
  </w:style>
  <w:style w:type="paragraph" w:customStyle="1" w:styleId="ne12">
    <w:name w:val="ne12"/>
    <w:basedOn w:val="FS1"/>
    <w:rsid w:val="00950459"/>
    <w:pPr>
      <w:ind w:left="0" w:firstLine="0"/>
    </w:pPr>
    <w:rPr>
      <w:b/>
    </w:rPr>
  </w:style>
  <w:style w:type="paragraph" w:customStyle="1" w:styleId="dfsd2">
    <w:name w:val="dfsd2"/>
    <w:basedOn w:val="FS2"/>
    <w:rsid w:val="00950459"/>
  </w:style>
  <w:style w:type="character" w:customStyle="1" w:styleId="FS1Char">
    <w:name w:val="FS1 Char"/>
    <w:rsid w:val="00950459"/>
    <w:rPr>
      <w:rFonts w:ascii="Arial" w:hAnsi="Arial"/>
      <w:noProof w:val="0"/>
      <w:lang w:val="en-US" w:eastAsia="en-US" w:bidi="ar-SA"/>
    </w:rPr>
  </w:style>
  <w:style w:type="character" w:customStyle="1" w:styleId="DFS1Char">
    <w:name w:val="DFS1 Char"/>
    <w:basedOn w:val="FS1Char"/>
    <w:rsid w:val="00950459"/>
    <w:rPr>
      <w:rFonts w:ascii="Arial" w:hAnsi="Arial"/>
      <w:noProof w:val="0"/>
      <w:lang w:val="en-US" w:eastAsia="en-US" w:bidi="ar-SA"/>
    </w:rPr>
  </w:style>
  <w:style w:type="character" w:customStyle="1" w:styleId="DTT1Char">
    <w:name w:val="DTT1 Char"/>
    <w:basedOn w:val="DFS1Char"/>
    <w:rsid w:val="00950459"/>
    <w:rPr>
      <w:rFonts w:ascii="Arial" w:hAnsi="Arial"/>
      <w:noProof w:val="0"/>
      <w:lang w:val="en-US" w:eastAsia="en-US" w:bidi="ar-SA"/>
    </w:rPr>
  </w:style>
  <w:style w:type="paragraph" w:styleId="BalloonText">
    <w:name w:val="Balloon Text"/>
    <w:basedOn w:val="Normal"/>
    <w:semiHidden/>
    <w:rsid w:val="00950459"/>
    <w:rPr>
      <w:rFonts w:ascii="Tahoma" w:hAnsi="Tahoma" w:cs="Times"/>
      <w:sz w:val="16"/>
      <w:szCs w:val="16"/>
    </w:rPr>
  </w:style>
  <w:style w:type="character" w:customStyle="1" w:styleId="Ne1Char">
    <w:name w:val="Ne1 Char"/>
    <w:rsid w:val="00950459"/>
    <w:rPr>
      <w:rFonts w:ascii="Arial" w:hAnsi="Arial"/>
      <w:b/>
      <w:noProof w:val="0"/>
      <w:lang w:val="en-US" w:eastAsia="en-US" w:bidi="ar-SA"/>
    </w:rPr>
  </w:style>
  <w:style w:type="character" w:customStyle="1" w:styleId="Ne2Char">
    <w:name w:val="Ne2 Char"/>
    <w:basedOn w:val="Ne1Char"/>
    <w:rsid w:val="00950459"/>
    <w:rPr>
      <w:rFonts w:ascii="Arial" w:hAnsi="Arial"/>
      <w:b/>
      <w:noProof w:val="0"/>
      <w:lang w:val="en-US" w:eastAsia="en-US" w:bidi="ar-SA"/>
    </w:rPr>
  </w:style>
  <w:style w:type="character" w:customStyle="1" w:styleId="Ne3Char">
    <w:name w:val="Ne3 Char"/>
    <w:basedOn w:val="Ne2Char"/>
    <w:rsid w:val="00950459"/>
    <w:rPr>
      <w:rFonts w:ascii="Arial" w:hAnsi="Arial"/>
      <w:b/>
      <w:noProof w:val="0"/>
      <w:lang w:val="en-US" w:eastAsia="en-US" w:bidi="ar-SA"/>
    </w:rPr>
  </w:style>
  <w:style w:type="paragraph" w:customStyle="1" w:styleId="Lettertext">
    <w:name w:val="Letter text"/>
    <w:basedOn w:val="Normal"/>
    <w:rsid w:val="00950459"/>
    <w:pPr>
      <w:tabs>
        <w:tab w:val="left" w:pos="1440"/>
      </w:tabs>
      <w:spacing w:before="240" w:line="260" w:lineRule="atLeast"/>
    </w:pPr>
    <w:rPr>
      <w:rFonts w:ascii="Times" w:hAnsi="Times"/>
      <w:sz w:val="22"/>
    </w:rPr>
  </w:style>
  <w:style w:type="paragraph" w:styleId="BodyText">
    <w:name w:val="Body Text"/>
    <w:basedOn w:val="Normal"/>
    <w:link w:val="BodyTextChar"/>
    <w:rsid w:val="00950459"/>
    <w:pPr>
      <w:overflowPunct/>
      <w:autoSpaceDE/>
      <w:autoSpaceDN/>
      <w:adjustRightInd/>
      <w:jc w:val="both"/>
      <w:textAlignment w:val="auto"/>
    </w:pPr>
    <w:rPr>
      <w:sz w:val="22"/>
    </w:rPr>
  </w:style>
  <w:style w:type="paragraph" w:customStyle="1" w:styleId="CharCharCharChar">
    <w:name w:val="Char Char Char Char"/>
    <w:basedOn w:val="Normal"/>
    <w:rsid w:val="00950459"/>
    <w:pPr>
      <w:overflowPunct/>
      <w:autoSpaceDE/>
      <w:autoSpaceDN/>
      <w:adjustRightInd/>
      <w:spacing w:after="160" w:line="240" w:lineRule="exact"/>
      <w:textAlignment w:val="auto"/>
    </w:pPr>
    <w:rPr>
      <w:rFonts w:ascii="Tahoma" w:hAnsi="Tahoma"/>
      <w:sz w:val="20"/>
    </w:rPr>
  </w:style>
  <w:style w:type="paragraph" w:styleId="BodyText2">
    <w:name w:val="Body Text 2"/>
    <w:basedOn w:val="Normal"/>
    <w:rsid w:val="00950459"/>
    <w:pPr>
      <w:jc w:val="both"/>
    </w:pPr>
    <w:rPr>
      <w:color w:val="3366FF"/>
      <w:sz w:val="20"/>
    </w:rPr>
  </w:style>
  <w:style w:type="table" w:styleId="TableGrid">
    <w:name w:val="Table Grid"/>
    <w:basedOn w:val="TableNormal"/>
    <w:rsid w:val="009504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0459"/>
    <w:pPr>
      <w:overflowPunct/>
      <w:autoSpaceDE/>
      <w:autoSpaceDN/>
      <w:adjustRightInd/>
      <w:spacing w:before="100" w:beforeAutospacing="1" w:after="100" w:afterAutospacing="1"/>
      <w:textAlignment w:val="auto"/>
    </w:pPr>
    <w:rPr>
      <w:szCs w:val="24"/>
    </w:rPr>
  </w:style>
  <w:style w:type="character" w:styleId="FollowedHyperlink">
    <w:name w:val="FollowedHyperlink"/>
    <w:rsid w:val="00950459"/>
    <w:rPr>
      <w:color w:val="800080"/>
      <w:u w:val="single"/>
    </w:rPr>
  </w:style>
  <w:style w:type="character" w:customStyle="1" w:styleId="FS1Char1">
    <w:name w:val="FS1 Char1"/>
    <w:link w:val="FS1"/>
    <w:rsid w:val="00950459"/>
    <w:rPr>
      <w:rFonts w:ascii="Arial" w:hAnsi="Arial"/>
      <w:lang w:val="en-US" w:eastAsia="en-US" w:bidi="ar-SA"/>
    </w:rPr>
  </w:style>
  <w:style w:type="character" w:customStyle="1" w:styleId="FS2Char">
    <w:name w:val="FS2 Char"/>
    <w:basedOn w:val="FS1Char1"/>
    <w:link w:val="FS2"/>
    <w:rsid w:val="00950459"/>
    <w:rPr>
      <w:rFonts w:ascii="Arial" w:hAnsi="Arial"/>
      <w:lang w:val="en-US" w:eastAsia="en-US" w:bidi="ar-SA"/>
    </w:rPr>
  </w:style>
  <w:style w:type="paragraph" w:styleId="ListParagraph">
    <w:name w:val="List Paragraph"/>
    <w:basedOn w:val="Normal"/>
    <w:uiPriority w:val="34"/>
    <w:qFormat/>
    <w:rsid w:val="00950459"/>
    <w:pPr>
      <w:overflowPunct/>
      <w:autoSpaceDE/>
      <w:autoSpaceDN/>
      <w:adjustRightInd/>
      <w:ind w:left="720"/>
      <w:textAlignment w:val="auto"/>
    </w:pPr>
    <w:rPr>
      <w:rFonts w:ascii="Univers" w:hAnsi="Univers"/>
      <w:sz w:val="22"/>
    </w:rPr>
  </w:style>
  <w:style w:type="character" w:styleId="Hyperlink">
    <w:name w:val="Hyperlink"/>
    <w:rsid w:val="00950459"/>
    <w:rPr>
      <w:color w:val="0000FF"/>
      <w:u w:val="single"/>
    </w:rPr>
  </w:style>
  <w:style w:type="character" w:customStyle="1" w:styleId="Ne2Char1">
    <w:name w:val="Ne2 Char1"/>
    <w:basedOn w:val="DefaultParagraphFont"/>
    <w:link w:val="Ne2"/>
    <w:rsid w:val="00950459"/>
  </w:style>
  <w:style w:type="paragraph" w:styleId="Revision">
    <w:name w:val="Revision"/>
    <w:hidden/>
    <w:uiPriority w:val="99"/>
    <w:semiHidden/>
    <w:rsid w:val="00950459"/>
    <w:rPr>
      <w:sz w:val="24"/>
    </w:rPr>
  </w:style>
  <w:style w:type="character" w:customStyle="1" w:styleId="BodyTextChar">
    <w:name w:val="Body Text Char"/>
    <w:link w:val="BodyText"/>
    <w:rsid w:val="00950459"/>
    <w:rPr>
      <w:sz w:val="22"/>
    </w:rPr>
  </w:style>
  <w:style w:type="paragraph" w:customStyle="1" w:styleId="Bullet">
    <w:name w:val="Bullet"/>
    <w:basedOn w:val="BodyText"/>
    <w:rsid w:val="00950459"/>
    <w:pPr>
      <w:numPr>
        <w:numId w:val="1"/>
      </w:numPr>
      <w:spacing w:after="240"/>
    </w:pPr>
    <w:rPr>
      <w:rFonts w:ascii="Times New Roman" w:hAnsi="Times New Roman"/>
      <w:sz w:val="20"/>
      <w:lang w:val="en-CA"/>
    </w:rPr>
  </w:style>
  <w:style w:type="paragraph" w:customStyle="1" w:styleId="BodyItalics">
    <w:name w:val="BodyItalics"/>
    <w:basedOn w:val="BodyText"/>
    <w:rsid w:val="00950459"/>
    <w:pPr>
      <w:spacing w:after="240"/>
    </w:pPr>
    <w:rPr>
      <w:rFonts w:ascii="Times New Roman" w:hAnsi="Times New Roman"/>
      <w:i/>
      <w:lang w:val="en-CA"/>
    </w:rPr>
  </w:style>
  <w:style w:type="character" w:styleId="CommentReference">
    <w:name w:val="annotation reference"/>
    <w:uiPriority w:val="99"/>
    <w:semiHidden/>
    <w:rsid w:val="00A242F7"/>
    <w:rPr>
      <w:sz w:val="16"/>
      <w:szCs w:val="16"/>
    </w:rPr>
  </w:style>
  <w:style w:type="paragraph" w:styleId="CommentText">
    <w:name w:val="annotation text"/>
    <w:basedOn w:val="Normal"/>
    <w:link w:val="CommentTextChar"/>
    <w:uiPriority w:val="99"/>
    <w:semiHidden/>
    <w:rsid w:val="00A242F7"/>
    <w:rPr>
      <w:sz w:val="20"/>
    </w:rPr>
  </w:style>
  <w:style w:type="paragraph" w:styleId="CommentSubject">
    <w:name w:val="annotation subject"/>
    <w:basedOn w:val="CommentText"/>
    <w:next w:val="CommentText"/>
    <w:semiHidden/>
    <w:rsid w:val="00A242F7"/>
    <w:rPr>
      <w:b/>
      <w:bCs/>
    </w:rPr>
  </w:style>
  <w:style w:type="character" w:customStyle="1" w:styleId="HeaderChar">
    <w:name w:val="Header Char"/>
    <w:aliases w:val="header-odd Char"/>
    <w:basedOn w:val="DefaultParagraphFont"/>
    <w:link w:val="Header"/>
    <w:rsid w:val="004707DA"/>
    <w:rPr>
      <w:sz w:val="24"/>
    </w:rPr>
  </w:style>
  <w:style w:type="paragraph" w:styleId="NoSpacing">
    <w:name w:val="No Spacing"/>
    <w:basedOn w:val="Normal"/>
    <w:link w:val="NoSpacingChar"/>
    <w:uiPriority w:val="1"/>
    <w:qFormat/>
    <w:rsid w:val="00F5694B"/>
    <w:pPr>
      <w:overflowPunct/>
      <w:autoSpaceDE/>
      <w:autoSpaceDN/>
      <w:adjustRightInd/>
      <w:textAlignment w:val="auto"/>
    </w:pPr>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F5694B"/>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95728F"/>
    <w:rPr>
      <w:color w:val="808080"/>
    </w:rPr>
  </w:style>
  <w:style w:type="paragraph" w:customStyle="1" w:styleId="Default">
    <w:name w:val="Default"/>
    <w:rsid w:val="005C6192"/>
    <w:pPr>
      <w:widowControl w:val="0"/>
      <w:autoSpaceDE w:val="0"/>
      <w:autoSpaceDN w:val="0"/>
      <w:adjustRightInd w:val="0"/>
    </w:pPr>
    <w:rPr>
      <w:rFonts w:cs="Arial"/>
      <w:color w:val="000000"/>
      <w:sz w:val="24"/>
      <w:szCs w:val="24"/>
    </w:rPr>
  </w:style>
  <w:style w:type="character" w:customStyle="1" w:styleId="CommentTextChar">
    <w:name w:val="Comment Text Char"/>
    <w:basedOn w:val="DefaultParagraphFont"/>
    <w:link w:val="CommentText"/>
    <w:uiPriority w:val="99"/>
    <w:semiHidden/>
    <w:rsid w:val="00781C2A"/>
  </w:style>
  <w:style w:type="character" w:customStyle="1" w:styleId="mwregion">
    <w:name w:val="mw_region"/>
    <w:basedOn w:val="DefaultParagraphFont"/>
    <w:rsid w:val="00320572"/>
  </w:style>
  <w:style w:type="character" w:customStyle="1" w:styleId="apple-converted-space">
    <w:name w:val="apple-converted-space"/>
    <w:basedOn w:val="DefaultParagraphFont"/>
    <w:rsid w:val="00320572"/>
  </w:style>
  <w:style w:type="character" w:styleId="Strong">
    <w:name w:val="Strong"/>
    <w:basedOn w:val="DefaultParagraphFont"/>
    <w:uiPriority w:val="22"/>
    <w:qFormat/>
    <w:rsid w:val="00320572"/>
    <w:rPr>
      <w:b/>
      <w:bCs/>
    </w:rPr>
  </w:style>
  <w:style w:type="paragraph" w:customStyle="1" w:styleId="Style2">
    <w:name w:val="Style2"/>
    <w:basedOn w:val="Normal"/>
    <w:uiPriority w:val="99"/>
    <w:rsid w:val="00C25206"/>
    <w:pPr>
      <w:overflowPunct/>
      <w:autoSpaceDE/>
      <w:autoSpaceDN/>
      <w:adjustRightInd/>
      <w:spacing w:line="220" w:lineRule="exact"/>
      <w:ind w:left="120" w:right="93"/>
      <w:jc w:val="both"/>
      <w:textAlignment w:val="auto"/>
    </w:pPr>
    <w:rPr>
      <w:rFonts w:ascii="Calibri" w:hAnsi="Calibri"/>
      <w:b/>
      <w:i/>
      <w:sz w:val="22"/>
    </w:rPr>
  </w:style>
  <w:style w:type="character" w:customStyle="1" w:styleId="xn-location">
    <w:name w:val="xn-location"/>
    <w:basedOn w:val="DefaultParagraphFont"/>
    <w:rsid w:val="00615012"/>
  </w:style>
  <w:style w:type="character" w:customStyle="1" w:styleId="xn-chron">
    <w:name w:val="xn-chron"/>
    <w:basedOn w:val="DefaultParagraphFont"/>
    <w:rsid w:val="00615012"/>
  </w:style>
  <w:style w:type="character" w:customStyle="1" w:styleId="Ne1Char1">
    <w:name w:val="Ne1 Char1"/>
    <w:link w:val="Ne1"/>
    <w:rsid w:val="008074B9"/>
    <w:rPr>
      <w:b/>
    </w:rPr>
  </w:style>
  <w:style w:type="character" w:customStyle="1" w:styleId="Mention1">
    <w:name w:val="Mention1"/>
    <w:basedOn w:val="DefaultParagraphFont"/>
    <w:uiPriority w:val="99"/>
    <w:semiHidden/>
    <w:unhideWhenUsed/>
    <w:rsid w:val="002666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3524">
      <w:bodyDiv w:val="1"/>
      <w:marLeft w:val="0"/>
      <w:marRight w:val="0"/>
      <w:marTop w:val="0"/>
      <w:marBottom w:val="0"/>
      <w:divBdr>
        <w:top w:val="none" w:sz="0" w:space="0" w:color="auto"/>
        <w:left w:val="none" w:sz="0" w:space="0" w:color="auto"/>
        <w:bottom w:val="none" w:sz="0" w:space="0" w:color="auto"/>
        <w:right w:val="none" w:sz="0" w:space="0" w:color="auto"/>
      </w:divBdr>
    </w:div>
    <w:div w:id="165480512">
      <w:bodyDiv w:val="1"/>
      <w:marLeft w:val="0"/>
      <w:marRight w:val="0"/>
      <w:marTop w:val="0"/>
      <w:marBottom w:val="0"/>
      <w:divBdr>
        <w:top w:val="none" w:sz="0" w:space="0" w:color="auto"/>
        <w:left w:val="none" w:sz="0" w:space="0" w:color="auto"/>
        <w:bottom w:val="none" w:sz="0" w:space="0" w:color="auto"/>
        <w:right w:val="none" w:sz="0" w:space="0" w:color="auto"/>
      </w:divBdr>
    </w:div>
    <w:div w:id="216669005">
      <w:bodyDiv w:val="1"/>
      <w:marLeft w:val="0"/>
      <w:marRight w:val="0"/>
      <w:marTop w:val="0"/>
      <w:marBottom w:val="0"/>
      <w:divBdr>
        <w:top w:val="none" w:sz="0" w:space="0" w:color="auto"/>
        <w:left w:val="none" w:sz="0" w:space="0" w:color="auto"/>
        <w:bottom w:val="none" w:sz="0" w:space="0" w:color="auto"/>
        <w:right w:val="none" w:sz="0" w:space="0" w:color="auto"/>
      </w:divBdr>
    </w:div>
    <w:div w:id="310328781">
      <w:bodyDiv w:val="1"/>
      <w:marLeft w:val="0"/>
      <w:marRight w:val="0"/>
      <w:marTop w:val="0"/>
      <w:marBottom w:val="0"/>
      <w:divBdr>
        <w:top w:val="none" w:sz="0" w:space="0" w:color="auto"/>
        <w:left w:val="none" w:sz="0" w:space="0" w:color="auto"/>
        <w:bottom w:val="none" w:sz="0" w:space="0" w:color="auto"/>
        <w:right w:val="none" w:sz="0" w:space="0" w:color="auto"/>
      </w:divBdr>
    </w:div>
    <w:div w:id="407003603">
      <w:bodyDiv w:val="1"/>
      <w:marLeft w:val="0"/>
      <w:marRight w:val="0"/>
      <w:marTop w:val="0"/>
      <w:marBottom w:val="0"/>
      <w:divBdr>
        <w:top w:val="none" w:sz="0" w:space="0" w:color="auto"/>
        <w:left w:val="none" w:sz="0" w:space="0" w:color="auto"/>
        <w:bottom w:val="none" w:sz="0" w:space="0" w:color="auto"/>
        <w:right w:val="none" w:sz="0" w:space="0" w:color="auto"/>
      </w:divBdr>
      <w:divsChild>
        <w:div w:id="844830649">
          <w:marLeft w:val="0"/>
          <w:marRight w:val="0"/>
          <w:marTop w:val="0"/>
          <w:marBottom w:val="0"/>
          <w:divBdr>
            <w:top w:val="none" w:sz="0" w:space="0" w:color="auto"/>
            <w:left w:val="none" w:sz="0" w:space="0" w:color="auto"/>
            <w:bottom w:val="none" w:sz="0" w:space="0" w:color="auto"/>
            <w:right w:val="none" w:sz="0" w:space="0" w:color="auto"/>
          </w:divBdr>
          <w:divsChild>
            <w:div w:id="147138244">
              <w:marLeft w:val="0"/>
              <w:marRight w:val="0"/>
              <w:marTop w:val="0"/>
              <w:marBottom w:val="0"/>
              <w:divBdr>
                <w:top w:val="none" w:sz="0" w:space="0" w:color="auto"/>
                <w:left w:val="none" w:sz="0" w:space="0" w:color="auto"/>
                <w:bottom w:val="none" w:sz="0" w:space="0" w:color="auto"/>
                <w:right w:val="none" w:sz="0" w:space="0" w:color="auto"/>
              </w:divBdr>
              <w:divsChild>
                <w:div w:id="424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5633">
      <w:bodyDiv w:val="1"/>
      <w:marLeft w:val="0"/>
      <w:marRight w:val="0"/>
      <w:marTop w:val="0"/>
      <w:marBottom w:val="0"/>
      <w:divBdr>
        <w:top w:val="none" w:sz="0" w:space="0" w:color="auto"/>
        <w:left w:val="none" w:sz="0" w:space="0" w:color="auto"/>
        <w:bottom w:val="none" w:sz="0" w:space="0" w:color="auto"/>
        <w:right w:val="none" w:sz="0" w:space="0" w:color="auto"/>
      </w:divBdr>
    </w:div>
    <w:div w:id="510683031">
      <w:bodyDiv w:val="1"/>
      <w:marLeft w:val="0"/>
      <w:marRight w:val="0"/>
      <w:marTop w:val="0"/>
      <w:marBottom w:val="0"/>
      <w:divBdr>
        <w:top w:val="none" w:sz="0" w:space="0" w:color="auto"/>
        <w:left w:val="none" w:sz="0" w:space="0" w:color="auto"/>
        <w:bottom w:val="none" w:sz="0" w:space="0" w:color="auto"/>
        <w:right w:val="none" w:sz="0" w:space="0" w:color="auto"/>
      </w:divBdr>
    </w:div>
    <w:div w:id="557908309">
      <w:bodyDiv w:val="1"/>
      <w:marLeft w:val="0"/>
      <w:marRight w:val="0"/>
      <w:marTop w:val="0"/>
      <w:marBottom w:val="0"/>
      <w:divBdr>
        <w:top w:val="none" w:sz="0" w:space="0" w:color="auto"/>
        <w:left w:val="none" w:sz="0" w:space="0" w:color="auto"/>
        <w:bottom w:val="none" w:sz="0" w:space="0" w:color="auto"/>
        <w:right w:val="none" w:sz="0" w:space="0" w:color="auto"/>
      </w:divBdr>
    </w:div>
    <w:div w:id="596905239">
      <w:bodyDiv w:val="1"/>
      <w:marLeft w:val="0"/>
      <w:marRight w:val="0"/>
      <w:marTop w:val="0"/>
      <w:marBottom w:val="0"/>
      <w:divBdr>
        <w:top w:val="none" w:sz="0" w:space="0" w:color="auto"/>
        <w:left w:val="none" w:sz="0" w:space="0" w:color="auto"/>
        <w:bottom w:val="none" w:sz="0" w:space="0" w:color="auto"/>
        <w:right w:val="none" w:sz="0" w:space="0" w:color="auto"/>
      </w:divBdr>
    </w:div>
    <w:div w:id="629093007">
      <w:bodyDiv w:val="1"/>
      <w:marLeft w:val="0"/>
      <w:marRight w:val="0"/>
      <w:marTop w:val="0"/>
      <w:marBottom w:val="0"/>
      <w:divBdr>
        <w:top w:val="none" w:sz="0" w:space="0" w:color="auto"/>
        <w:left w:val="none" w:sz="0" w:space="0" w:color="auto"/>
        <w:bottom w:val="none" w:sz="0" w:space="0" w:color="auto"/>
        <w:right w:val="none" w:sz="0" w:space="0" w:color="auto"/>
      </w:divBdr>
    </w:div>
    <w:div w:id="672298627">
      <w:bodyDiv w:val="1"/>
      <w:marLeft w:val="0"/>
      <w:marRight w:val="0"/>
      <w:marTop w:val="0"/>
      <w:marBottom w:val="0"/>
      <w:divBdr>
        <w:top w:val="none" w:sz="0" w:space="0" w:color="auto"/>
        <w:left w:val="none" w:sz="0" w:space="0" w:color="auto"/>
        <w:bottom w:val="none" w:sz="0" w:space="0" w:color="auto"/>
        <w:right w:val="none" w:sz="0" w:space="0" w:color="auto"/>
      </w:divBdr>
    </w:div>
    <w:div w:id="698623856">
      <w:bodyDiv w:val="1"/>
      <w:marLeft w:val="0"/>
      <w:marRight w:val="0"/>
      <w:marTop w:val="0"/>
      <w:marBottom w:val="0"/>
      <w:divBdr>
        <w:top w:val="none" w:sz="0" w:space="0" w:color="auto"/>
        <w:left w:val="none" w:sz="0" w:space="0" w:color="auto"/>
        <w:bottom w:val="none" w:sz="0" w:space="0" w:color="auto"/>
        <w:right w:val="none" w:sz="0" w:space="0" w:color="auto"/>
      </w:divBdr>
    </w:div>
    <w:div w:id="699353836">
      <w:bodyDiv w:val="1"/>
      <w:marLeft w:val="0"/>
      <w:marRight w:val="0"/>
      <w:marTop w:val="0"/>
      <w:marBottom w:val="0"/>
      <w:divBdr>
        <w:top w:val="none" w:sz="0" w:space="0" w:color="auto"/>
        <w:left w:val="none" w:sz="0" w:space="0" w:color="auto"/>
        <w:bottom w:val="none" w:sz="0" w:space="0" w:color="auto"/>
        <w:right w:val="none" w:sz="0" w:space="0" w:color="auto"/>
      </w:divBdr>
      <w:divsChild>
        <w:div w:id="1435789073">
          <w:marLeft w:val="0"/>
          <w:marRight w:val="0"/>
          <w:marTop w:val="0"/>
          <w:marBottom w:val="0"/>
          <w:divBdr>
            <w:top w:val="none" w:sz="0" w:space="0" w:color="auto"/>
            <w:left w:val="none" w:sz="0" w:space="0" w:color="auto"/>
            <w:bottom w:val="none" w:sz="0" w:space="0" w:color="auto"/>
            <w:right w:val="none" w:sz="0" w:space="0" w:color="auto"/>
          </w:divBdr>
          <w:divsChild>
            <w:div w:id="1606886201">
              <w:marLeft w:val="0"/>
              <w:marRight w:val="0"/>
              <w:marTop w:val="0"/>
              <w:marBottom w:val="0"/>
              <w:divBdr>
                <w:top w:val="none" w:sz="0" w:space="0" w:color="auto"/>
                <w:left w:val="none" w:sz="0" w:space="0" w:color="auto"/>
                <w:bottom w:val="none" w:sz="0" w:space="0" w:color="auto"/>
                <w:right w:val="none" w:sz="0" w:space="0" w:color="auto"/>
              </w:divBdr>
              <w:divsChild>
                <w:div w:id="8452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10983">
      <w:bodyDiv w:val="1"/>
      <w:marLeft w:val="0"/>
      <w:marRight w:val="0"/>
      <w:marTop w:val="0"/>
      <w:marBottom w:val="0"/>
      <w:divBdr>
        <w:top w:val="none" w:sz="0" w:space="0" w:color="auto"/>
        <w:left w:val="none" w:sz="0" w:space="0" w:color="auto"/>
        <w:bottom w:val="none" w:sz="0" w:space="0" w:color="auto"/>
        <w:right w:val="none" w:sz="0" w:space="0" w:color="auto"/>
      </w:divBdr>
      <w:divsChild>
        <w:div w:id="1464497311">
          <w:marLeft w:val="0"/>
          <w:marRight w:val="0"/>
          <w:marTop w:val="0"/>
          <w:marBottom w:val="0"/>
          <w:divBdr>
            <w:top w:val="none" w:sz="0" w:space="0" w:color="auto"/>
            <w:left w:val="none" w:sz="0" w:space="0" w:color="auto"/>
            <w:bottom w:val="none" w:sz="0" w:space="0" w:color="auto"/>
            <w:right w:val="none" w:sz="0" w:space="0" w:color="auto"/>
          </w:divBdr>
          <w:divsChild>
            <w:div w:id="671183612">
              <w:marLeft w:val="0"/>
              <w:marRight w:val="0"/>
              <w:marTop w:val="0"/>
              <w:marBottom w:val="0"/>
              <w:divBdr>
                <w:top w:val="none" w:sz="0" w:space="0" w:color="auto"/>
                <w:left w:val="none" w:sz="0" w:space="0" w:color="auto"/>
                <w:bottom w:val="none" w:sz="0" w:space="0" w:color="auto"/>
                <w:right w:val="none" w:sz="0" w:space="0" w:color="auto"/>
              </w:divBdr>
              <w:divsChild>
                <w:div w:id="976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6534">
      <w:bodyDiv w:val="1"/>
      <w:marLeft w:val="0"/>
      <w:marRight w:val="0"/>
      <w:marTop w:val="0"/>
      <w:marBottom w:val="0"/>
      <w:divBdr>
        <w:top w:val="none" w:sz="0" w:space="0" w:color="auto"/>
        <w:left w:val="none" w:sz="0" w:space="0" w:color="auto"/>
        <w:bottom w:val="none" w:sz="0" w:space="0" w:color="auto"/>
        <w:right w:val="none" w:sz="0" w:space="0" w:color="auto"/>
      </w:divBdr>
      <w:divsChild>
        <w:div w:id="1632862064">
          <w:marLeft w:val="0"/>
          <w:marRight w:val="0"/>
          <w:marTop w:val="0"/>
          <w:marBottom w:val="0"/>
          <w:divBdr>
            <w:top w:val="none" w:sz="0" w:space="0" w:color="auto"/>
            <w:left w:val="none" w:sz="0" w:space="0" w:color="auto"/>
            <w:bottom w:val="none" w:sz="0" w:space="0" w:color="auto"/>
            <w:right w:val="none" w:sz="0" w:space="0" w:color="auto"/>
          </w:divBdr>
          <w:divsChild>
            <w:div w:id="1620452741">
              <w:marLeft w:val="0"/>
              <w:marRight w:val="0"/>
              <w:marTop w:val="0"/>
              <w:marBottom w:val="0"/>
              <w:divBdr>
                <w:top w:val="none" w:sz="0" w:space="0" w:color="auto"/>
                <w:left w:val="none" w:sz="0" w:space="0" w:color="auto"/>
                <w:bottom w:val="none" w:sz="0" w:space="0" w:color="auto"/>
                <w:right w:val="none" w:sz="0" w:space="0" w:color="auto"/>
              </w:divBdr>
              <w:divsChild>
                <w:div w:id="4581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7956">
      <w:bodyDiv w:val="1"/>
      <w:marLeft w:val="0"/>
      <w:marRight w:val="0"/>
      <w:marTop w:val="0"/>
      <w:marBottom w:val="0"/>
      <w:divBdr>
        <w:top w:val="none" w:sz="0" w:space="0" w:color="auto"/>
        <w:left w:val="none" w:sz="0" w:space="0" w:color="auto"/>
        <w:bottom w:val="none" w:sz="0" w:space="0" w:color="auto"/>
        <w:right w:val="none" w:sz="0" w:space="0" w:color="auto"/>
      </w:divBdr>
      <w:divsChild>
        <w:div w:id="1809780291">
          <w:marLeft w:val="0"/>
          <w:marRight w:val="0"/>
          <w:marTop w:val="0"/>
          <w:marBottom w:val="0"/>
          <w:divBdr>
            <w:top w:val="none" w:sz="0" w:space="0" w:color="auto"/>
            <w:left w:val="none" w:sz="0" w:space="0" w:color="auto"/>
            <w:bottom w:val="none" w:sz="0" w:space="0" w:color="auto"/>
            <w:right w:val="none" w:sz="0" w:space="0" w:color="auto"/>
          </w:divBdr>
          <w:divsChild>
            <w:div w:id="1581911891">
              <w:marLeft w:val="0"/>
              <w:marRight w:val="0"/>
              <w:marTop w:val="0"/>
              <w:marBottom w:val="0"/>
              <w:divBdr>
                <w:top w:val="none" w:sz="0" w:space="0" w:color="auto"/>
                <w:left w:val="none" w:sz="0" w:space="0" w:color="auto"/>
                <w:bottom w:val="none" w:sz="0" w:space="0" w:color="auto"/>
                <w:right w:val="none" w:sz="0" w:space="0" w:color="auto"/>
              </w:divBdr>
              <w:divsChild>
                <w:div w:id="1362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3466">
      <w:bodyDiv w:val="1"/>
      <w:marLeft w:val="0"/>
      <w:marRight w:val="0"/>
      <w:marTop w:val="0"/>
      <w:marBottom w:val="0"/>
      <w:divBdr>
        <w:top w:val="none" w:sz="0" w:space="0" w:color="auto"/>
        <w:left w:val="none" w:sz="0" w:space="0" w:color="auto"/>
        <w:bottom w:val="none" w:sz="0" w:space="0" w:color="auto"/>
        <w:right w:val="none" w:sz="0" w:space="0" w:color="auto"/>
      </w:divBdr>
      <w:divsChild>
        <w:div w:id="1808357450">
          <w:marLeft w:val="0"/>
          <w:marRight w:val="0"/>
          <w:marTop w:val="0"/>
          <w:marBottom w:val="0"/>
          <w:divBdr>
            <w:top w:val="none" w:sz="0" w:space="0" w:color="auto"/>
            <w:left w:val="none" w:sz="0" w:space="0" w:color="auto"/>
            <w:bottom w:val="none" w:sz="0" w:space="0" w:color="auto"/>
            <w:right w:val="none" w:sz="0" w:space="0" w:color="auto"/>
          </w:divBdr>
          <w:divsChild>
            <w:div w:id="522481327">
              <w:marLeft w:val="0"/>
              <w:marRight w:val="0"/>
              <w:marTop w:val="0"/>
              <w:marBottom w:val="0"/>
              <w:divBdr>
                <w:top w:val="none" w:sz="0" w:space="0" w:color="auto"/>
                <w:left w:val="none" w:sz="0" w:space="0" w:color="auto"/>
                <w:bottom w:val="none" w:sz="0" w:space="0" w:color="auto"/>
                <w:right w:val="none" w:sz="0" w:space="0" w:color="auto"/>
              </w:divBdr>
              <w:divsChild>
                <w:div w:id="2122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0513">
      <w:bodyDiv w:val="1"/>
      <w:marLeft w:val="0"/>
      <w:marRight w:val="0"/>
      <w:marTop w:val="0"/>
      <w:marBottom w:val="0"/>
      <w:divBdr>
        <w:top w:val="none" w:sz="0" w:space="0" w:color="auto"/>
        <w:left w:val="none" w:sz="0" w:space="0" w:color="auto"/>
        <w:bottom w:val="none" w:sz="0" w:space="0" w:color="auto"/>
        <w:right w:val="none" w:sz="0" w:space="0" w:color="auto"/>
      </w:divBdr>
    </w:div>
    <w:div w:id="1172990279">
      <w:bodyDiv w:val="1"/>
      <w:marLeft w:val="0"/>
      <w:marRight w:val="0"/>
      <w:marTop w:val="0"/>
      <w:marBottom w:val="0"/>
      <w:divBdr>
        <w:top w:val="none" w:sz="0" w:space="0" w:color="auto"/>
        <w:left w:val="none" w:sz="0" w:space="0" w:color="auto"/>
        <w:bottom w:val="none" w:sz="0" w:space="0" w:color="auto"/>
        <w:right w:val="none" w:sz="0" w:space="0" w:color="auto"/>
      </w:divBdr>
    </w:div>
    <w:div w:id="1268777094">
      <w:bodyDiv w:val="1"/>
      <w:marLeft w:val="0"/>
      <w:marRight w:val="0"/>
      <w:marTop w:val="0"/>
      <w:marBottom w:val="0"/>
      <w:divBdr>
        <w:top w:val="none" w:sz="0" w:space="0" w:color="auto"/>
        <w:left w:val="none" w:sz="0" w:space="0" w:color="auto"/>
        <w:bottom w:val="none" w:sz="0" w:space="0" w:color="auto"/>
        <w:right w:val="none" w:sz="0" w:space="0" w:color="auto"/>
      </w:divBdr>
    </w:div>
    <w:div w:id="1303971013">
      <w:bodyDiv w:val="1"/>
      <w:marLeft w:val="0"/>
      <w:marRight w:val="0"/>
      <w:marTop w:val="0"/>
      <w:marBottom w:val="0"/>
      <w:divBdr>
        <w:top w:val="none" w:sz="0" w:space="0" w:color="auto"/>
        <w:left w:val="none" w:sz="0" w:space="0" w:color="auto"/>
        <w:bottom w:val="none" w:sz="0" w:space="0" w:color="auto"/>
        <w:right w:val="none" w:sz="0" w:space="0" w:color="auto"/>
      </w:divBdr>
    </w:div>
    <w:div w:id="1534994832">
      <w:bodyDiv w:val="1"/>
      <w:marLeft w:val="0"/>
      <w:marRight w:val="0"/>
      <w:marTop w:val="0"/>
      <w:marBottom w:val="0"/>
      <w:divBdr>
        <w:top w:val="none" w:sz="0" w:space="0" w:color="auto"/>
        <w:left w:val="none" w:sz="0" w:space="0" w:color="auto"/>
        <w:bottom w:val="none" w:sz="0" w:space="0" w:color="auto"/>
        <w:right w:val="none" w:sz="0" w:space="0" w:color="auto"/>
      </w:divBdr>
    </w:div>
    <w:div w:id="1588030117">
      <w:bodyDiv w:val="1"/>
      <w:marLeft w:val="0"/>
      <w:marRight w:val="0"/>
      <w:marTop w:val="0"/>
      <w:marBottom w:val="0"/>
      <w:divBdr>
        <w:top w:val="none" w:sz="0" w:space="0" w:color="auto"/>
        <w:left w:val="none" w:sz="0" w:space="0" w:color="auto"/>
        <w:bottom w:val="none" w:sz="0" w:space="0" w:color="auto"/>
        <w:right w:val="none" w:sz="0" w:space="0" w:color="auto"/>
      </w:divBdr>
    </w:div>
    <w:div w:id="1784152643">
      <w:bodyDiv w:val="1"/>
      <w:marLeft w:val="0"/>
      <w:marRight w:val="0"/>
      <w:marTop w:val="0"/>
      <w:marBottom w:val="0"/>
      <w:divBdr>
        <w:top w:val="none" w:sz="0" w:space="0" w:color="auto"/>
        <w:left w:val="none" w:sz="0" w:space="0" w:color="auto"/>
        <w:bottom w:val="none" w:sz="0" w:space="0" w:color="auto"/>
        <w:right w:val="none" w:sz="0" w:space="0" w:color="auto"/>
      </w:divBdr>
      <w:divsChild>
        <w:div w:id="2052683760">
          <w:marLeft w:val="0"/>
          <w:marRight w:val="0"/>
          <w:marTop w:val="0"/>
          <w:marBottom w:val="0"/>
          <w:divBdr>
            <w:top w:val="none" w:sz="0" w:space="0" w:color="auto"/>
            <w:left w:val="none" w:sz="0" w:space="0" w:color="auto"/>
            <w:bottom w:val="none" w:sz="0" w:space="0" w:color="auto"/>
            <w:right w:val="none" w:sz="0" w:space="0" w:color="auto"/>
          </w:divBdr>
          <w:divsChild>
            <w:div w:id="467210124">
              <w:marLeft w:val="0"/>
              <w:marRight w:val="0"/>
              <w:marTop w:val="0"/>
              <w:marBottom w:val="0"/>
              <w:divBdr>
                <w:top w:val="none" w:sz="0" w:space="0" w:color="auto"/>
                <w:left w:val="none" w:sz="0" w:space="0" w:color="auto"/>
                <w:bottom w:val="none" w:sz="0" w:space="0" w:color="auto"/>
                <w:right w:val="none" w:sz="0" w:space="0" w:color="auto"/>
              </w:divBdr>
              <w:divsChild>
                <w:div w:id="1726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3182">
      <w:bodyDiv w:val="1"/>
      <w:marLeft w:val="0"/>
      <w:marRight w:val="0"/>
      <w:marTop w:val="0"/>
      <w:marBottom w:val="0"/>
      <w:divBdr>
        <w:top w:val="none" w:sz="0" w:space="0" w:color="auto"/>
        <w:left w:val="none" w:sz="0" w:space="0" w:color="auto"/>
        <w:bottom w:val="none" w:sz="0" w:space="0" w:color="auto"/>
        <w:right w:val="none" w:sz="0" w:space="0" w:color="auto"/>
      </w:divBdr>
    </w:div>
    <w:div w:id="1897937457">
      <w:bodyDiv w:val="1"/>
      <w:marLeft w:val="0"/>
      <w:marRight w:val="0"/>
      <w:marTop w:val="0"/>
      <w:marBottom w:val="0"/>
      <w:divBdr>
        <w:top w:val="none" w:sz="0" w:space="0" w:color="auto"/>
        <w:left w:val="none" w:sz="0" w:space="0" w:color="auto"/>
        <w:bottom w:val="none" w:sz="0" w:space="0" w:color="auto"/>
        <w:right w:val="none" w:sz="0" w:space="0" w:color="auto"/>
      </w:divBdr>
      <w:divsChild>
        <w:div w:id="1689871193">
          <w:marLeft w:val="0"/>
          <w:marRight w:val="0"/>
          <w:marTop w:val="0"/>
          <w:marBottom w:val="0"/>
          <w:divBdr>
            <w:top w:val="none" w:sz="0" w:space="0" w:color="auto"/>
            <w:left w:val="none" w:sz="0" w:space="0" w:color="auto"/>
            <w:bottom w:val="none" w:sz="0" w:space="0" w:color="auto"/>
            <w:right w:val="none" w:sz="0" w:space="0" w:color="auto"/>
          </w:divBdr>
          <w:divsChild>
            <w:div w:id="1709068279">
              <w:marLeft w:val="0"/>
              <w:marRight w:val="0"/>
              <w:marTop w:val="0"/>
              <w:marBottom w:val="0"/>
              <w:divBdr>
                <w:top w:val="none" w:sz="0" w:space="0" w:color="auto"/>
                <w:left w:val="none" w:sz="0" w:space="0" w:color="auto"/>
                <w:bottom w:val="none" w:sz="0" w:space="0" w:color="auto"/>
                <w:right w:val="none" w:sz="0" w:space="0" w:color="auto"/>
              </w:divBdr>
              <w:divsChild>
                <w:div w:id="4003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734">
      <w:bodyDiv w:val="1"/>
      <w:marLeft w:val="0"/>
      <w:marRight w:val="0"/>
      <w:marTop w:val="0"/>
      <w:marBottom w:val="0"/>
      <w:divBdr>
        <w:top w:val="none" w:sz="0" w:space="0" w:color="auto"/>
        <w:left w:val="none" w:sz="0" w:space="0" w:color="auto"/>
        <w:bottom w:val="none" w:sz="0" w:space="0" w:color="auto"/>
        <w:right w:val="none" w:sz="0" w:space="0" w:color="auto"/>
      </w:divBdr>
      <w:divsChild>
        <w:div w:id="450637904">
          <w:marLeft w:val="0"/>
          <w:marRight w:val="0"/>
          <w:marTop w:val="0"/>
          <w:marBottom w:val="0"/>
          <w:divBdr>
            <w:top w:val="none" w:sz="0" w:space="0" w:color="auto"/>
            <w:left w:val="none" w:sz="0" w:space="0" w:color="auto"/>
            <w:bottom w:val="none" w:sz="0" w:space="0" w:color="auto"/>
            <w:right w:val="none" w:sz="0" w:space="0" w:color="auto"/>
          </w:divBdr>
          <w:divsChild>
            <w:div w:id="1054113455">
              <w:marLeft w:val="0"/>
              <w:marRight w:val="0"/>
              <w:marTop w:val="0"/>
              <w:marBottom w:val="0"/>
              <w:divBdr>
                <w:top w:val="none" w:sz="0" w:space="0" w:color="auto"/>
                <w:left w:val="none" w:sz="0" w:space="0" w:color="auto"/>
                <w:bottom w:val="none" w:sz="0" w:space="0" w:color="auto"/>
                <w:right w:val="none" w:sz="0" w:space="0" w:color="auto"/>
              </w:divBdr>
              <w:divsChild>
                <w:div w:id="1532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2362">
      <w:bodyDiv w:val="1"/>
      <w:marLeft w:val="0"/>
      <w:marRight w:val="0"/>
      <w:marTop w:val="0"/>
      <w:marBottom w:val="0"/>
      <w:divBdr>
        <w:top w:val="none" w:sz="0" w:space="0" w:color="auto"/>
        <w:left w:val="none" w:sz="0" w:space="0" w:color="auto"/>
        <w:bottom w:val="none" w:sz="0" w:space="0" w:color="auto"/>
        <w:right w:val="none" w:sz="0" w:space="0" w:color="auto"/>
      </w:divBdr>
    </w:div>
    <w:div w:id="2076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E1F42-5490-4F4E-BA7A-8458E6CD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3969</Words>
  <Characters>17984</Characters>
  <Application>Microsoft Office Word</Application>
  <DocSecurity>4</DocSecurity>
  <Lines>399</Lines>
  <Paragraphs>264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21689</CharactersWithSpaces>
  <SharedDoc>false</SharedDoc>
  <HLinks>
    <vt:vector size="18" baseType="variant">
      <vt:variant>
        <vt:i4>4128880</vt:i4>
      </vt:variant>
      <vt:variant>
        <vt:i4>6</vt:i4>
      </vt:variant>
      <vt:variant>
        <vt:i4>0</vt:i4>
      </vt:variant>
      <vt:variant>
        <vt:i4>5</vt:i4>
      </vt:variant>
      <vt:variant>
        <vt:lpwstr>http://www.e-z-bag.com/</vt:lpwstr>
      </vt:variant>
      <vt:variant>
        <vt:lpwstr/>
      </vt:variant>
      <vt:variant>
        <vt:i4>4522050</vt:i4>
      </vt:variant>
      <vt:variant>
        <vt:i4>3</vt:i4>
      </vt:variant>
      <vt:variant>
        <vt:i4>0</vt:i4>
      </vt:variant>
      <vt:variant>
        <vt:i4>5</vt:i4>
      </vt:variant>
      <vt:variant>
        <vt:lpwstr>http://www.cerfcorp.com/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2011-08-26T19:42:00Z</cp:lastPrinted>
  <dcterms:created xsi:type="dcterms:W3CDTF">2019-11-13T00:28:00Z</dcterms:created>
  <dcterms:modified xsi:type="dcterms:W3CDTF">2019-11-13T00:28:00Z</dcterms:modified>
</cp:coreProperties>
</file>